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B662" w14:textId="4629F3F9" w:rsidR="002A35EF" w:rsidRPr="001E290C" w:rsidRDefault="002A35EF" w:rsidP="004A3C5E">
      <w:pPr>
        <w:jc w:val="center"/>
        <w:rPr>
          <w:b/>
          <w:bCs/>
        </w:rPr>
      </w:pPr>
      <w:r w:rsidRPr="001E290C">
        <w:rPr>
          <w:b/>
          <w:bCs/>
        </w:rPr>
        <w:t>Anexo</w:t>
      </w:r>
      <w:r w:rsidR="008C4735">
        <w:rPr>
          <w:b/>
          <w:bCs/>
        </w:rPr>
        <w:t xml:space="preserve"> </w:t>
      </w:r>
      <w:r w:rsidR="00CE77DC">
        <w:rPr>
          <w:b/>
          <w:bCs/>
        </w:rPr>
        <w:t xml:space="preserve">2.3 </w:t>
      </w:r>
      <w:r w:rsidR="003F3873" w:rsidRPr="001E290C">
        <w:rPr>
          <w:b/>
          <w:bCs/>
        </w:rPr>
        <w:t xml:space="preserve"> </w:t>
      </w:r>
      <w:r w:rsidRPr="001E290C">
        <w:rPr>
          <w:b/>
          <w:bCs/>
        </w:rPr>
        <w:t xml:space="preserve">Modelo </w:t>
      </w:r>
      <w:r w:rsidR="004A3C5E">
        <w:rPr>
          <w:b/>
          <w:bCs/>
        </w:rPr>
        <w:t xml:space="preserve">guía </w:t>
      </w:r>
      <w:r w:rsidRPr="001E290C">
        <w:rPr>
          <w:b/>
          <w:bCs/>
        </w:rPr>
        <w:t>de estructura de costos – Convenio</w:t>
      </w:r>
    </w:p>
    <w:p w14:paraId="407CFBE8" w14:textId="7041F239" w:rsidR="002A35EF" w:rsidRDefault="002A35EF" w:rsidP="003F3873">
      <w:pPr>
        <w:jc w:val="both"/>
      </w:pPr>
      <w:r w:rsidRPr="002A35EF">
        <w:t>El presente modelo permite un acercamiento con la estructura de costos de los proyectos de Obras por Impuestos, para la presentación de proyectos. Los costos acá expuestos, obedecen a los mínimos con los que debe contar el presupuesto del proyecto, a excepción del rubro de estudios complementarios, éste dependerá de la revisión y aprobación de la E</w:t>
      </w:r>
      <w:r w:rsidR="0029700F">
        <w:t>D</w:t>
      </w:r>
      <w:r w:rsidRPr="002A35EF">
        <w:t>C.</w:t>
      </w:r>
    </w:p>
    <w:p w14:paraId="4F25909E" w14:textId="75344794" w:rsidR="002A35EF" w:rsidRDefault="002A35EF">
      <w:r w:rsidRPr="002A35EF">
        <w:t>Estructura de costos:</w:t>
      </w:r>
      <w:r w:rsidRPr="002A35EF">
        <w:br/>
        <w:t>Ct = Gp + Cd + Ci + I + F + Rc + Ec + GMF</w:t>
      </w:r>
    </w:p>
    <w:p w14:paraId="2B5C4845" w14:textId="77777777" w:rsidR="002A35EF" w:rsidRDefault="002A35EF"/>
    <w:tbl>
      <w:tblPr>
        <w:tblStyle w:val="Tabelacomgrade"/>
        <w:tblW w:w="0" w:type="auto"/>
        <w:tblLook w:val="04A0" w:firstRow="1" w:lastRow="0" w:firstColumn="1" w:lastColumn="0" w:noHBand="0" w:noVBand="1"/>
      </w:tblPr>
      <w:tblGrid>
        <w:gridCol w:w="2056"/>
        <w:gridCol w:w="6772"/>
      </w:tblGrid>
      <w:tr w:rsidR="002A35EF" w14:paraId="6B679DDB" w14:textId="77777777" w:rsidTr="002A35EF">
        <w:tc>
          <w:tcPr>
            <w:tcW w:w="2056" w:type="dxa"/>
          </w:tcPr>
          <w:p w14:paraId="03B4918F" w14:textId="072D3735" w:rsidR="002A35EF" w:rsidRDefault="002A35EF">
            <w:r>
              <w:t>CT</w:t>
            </w:r>
          </w:p>
        </w:tc>
        <w:tc>
          <w:tcPr>
            <w:tcW w:w="6772" w:type="dxa"/>
          </w:tcPr>
          <w:p w14:paraId="4140BB8B" w14:textId="0A2616DF" w:rsidR="002A35EF" w:rsidRDefault="002A35EF">
            <w:r>
              <w:t xml:space="preserve">Costo total del proyecto </w:t>
            </w:r>
          </w:p>
        </w:tc>
      </w:tr>
      <w:tr w:rsidR="002A35EF" w14:paraId="2F198F93" w14:textId="77777777" w:rsidTr="002A35EF">
        <w:tc>
          <w:tcPr>
            <w:tcW w:w="2056" w:type="dxa"/>
          </w:tcPr>
          <w:p w14:paraId="011FDD03" w14:textId="2B5CED45" w:rsidR="002A35EF" w:rsidRDefault="002A35EF">
            <w:r w:rsidRPr="002A35EF">
              <w:t>Gp = Gerencia del Proyecto</w:t>
            </w:r>
          </w:p>
        </w:tc>
        <w:tc>
          <w:tcPr>
            <w:tcW w:w="6772" w:type="dxa"/>
          </w:tcPr>
          <w:p w14:paraId="3E6E78B5" w14:textId="7B293FF3" w:rsidR="00BF63D4" w:rsidRDefault="00BF63D4" w:rsidP="00944CCE">
            <w:pPr>
              <w:jc w:val="both"/>
            </w:pPr>
            <w:r w:rsidRPr="00BF63D4">
              <w:t xml:space="preserve">Los costos de </w:t>
            </w:r>
            <w:r>
              <w:t>gerencia</w:t>
            </w:r>
            <w:r w:rsidRPr="00BF63D4">
              <w:t xml:space="preserve"> del proyecto se calcularán en función del tiempo y esfuerzo dedicados a esta labor. La gerencia será responsable ante los contribuyentes de administrar y ejecutar el proyecto, asegurar su avance y cumplir con el cronograma general aprobado por la entidad </w:t>
            </w:r>
            <w:r w:rsidR="007D1E40">
              <w:t>distrital competente</w:t>
            </w:r>
            <w:r w:rsidRPr="00BF63D4">
              <w:t xml:space="preserve">, para lo cual deberá contar con personal cualificado. Aclaramos que los gastos de gerencia no representan un porcentaje fijo del valor total del proyecto, sino que se basan en el costo de las actividades específicas que la gerencia realizará dentro del tipo de proyecto presentado. Este gasto solo se incluirá si la EDC considera que la actividad de gerencia es </w:t>
            </w:r>
            <w:r w:rsidR="007D1E40">
              <w:t>necesaria</w:t>
            </w:r>
            <w:r w:rsidRPr="00BF63D4">
              <w:t xml:space="preserve"> para el proyecto.</w:t>
            </w:r>
          </w:p>
        </w:tc>
      </w:tr>
      <w:tr w:rsidR="002A35EF" w14:paraId="6ABCA75E" w14:textId="77777777" w:rsidTr="002A35EF">
        <w:tc>
          <w:tcPr>
            <w:tcW w:w="2056" w:type="dxa"/>
          </w:tcPr>
          <w:p w14:paraId="02A5B4DA" w14:textId="52DD2976" w:rsidR="002A35EF" w:rsidRDefault="002A35EF">
            <w:r w:rsidRPr="002A35EF">
              <w:t>Cd = Costos Directos</w:t>
            </w:r>
          </w:p>
        </w:tc>
        <w:tc>
          <w:tcPr>
            <w:tcW w:w="6772" w:type="dxa"/>
          </w:tcPr>
          <w:p w14:paraId="1A9E05A3" w14:textId="77777777" w:rsidR="00946148" w:rsidRPr="00946148" w:rsidRDefault="00946148" w:rsidP="00944CCE">
            <w:pPr>
              <w:jc w:val="both"/>
            </w:pPr>
            <w:r w:rsidRPr="00946148">
              <w:t>Este componente define el costo de los procesos de construcción. Si un proyecto contempla el rubro de "Suministro", este debe presentarse por separado de los costos directos de la obra. Dentro de este apartado se considera el concepto de Administración, Imprevistos y Utilidad (AIU), comúnmente aplicado en contratos de ingeniería civil, arquitectura y construcción en general. El AIU debe quedar claramente especificado en el contrato de construcción u obra civil, detallando los valores para cada uno de sus componentes.</w:t>
            </w:r>
          </w:p>
          <w:p w14:paraId="3B4B0805" w14:textId="2C02B7F9" w:rsidR="00946148" w:rsidRPr="00946148" w:rsidRDefault="00946148" w:rsidP="00944CCE">
            <w:pPr>
              <w:jc w:val="both"/>
            </w:pPr>
            <w:r w:rsidRPr="00946148">
              <w:t xml:space="preserve">El componente de Imprevistos (I) </w:t>
            </w:r>
            <w:r w:rsidR="008F738B" w:rsidRPr="002A35EF">
              <w:t>que se incluye dentro del concepto de AIU</w:t>
            </w:r>
            <w:r w:rsidR="008F738B" w:rsidRPr="00946148">
              <w:t xml:space="preserve"> </w:t>
            </w:r>
            <w:r w:rsidRPr="00946148">
              <w:t xml:space="preserve">busca que el contratista asuma los riesgos normales y previsibles inherentes a la ejecución del contrato, tales como fluctuaciones en precios de materiales o mano de obra, ajustes en las cantidades de obra, o demoras por clima, entre otros. Es importante distinguir que los Imprevistos del AIU no constituyen </w:t>
            </w:r>
            <w:r w:rsidR="00BF6713" w:rsidRPr="002A35EF">
              <w:t>el rubro contingente</w:t>
            </w:r>
            <w:r w:rsidRPr="00946148">
              <w:t xml:space="preserve">; </w:t>
            </w:r>
            <w:r w:rsidR="00E66C96" w:rsidRPr="002A35EF">
              <w:t>ya que los imprevistos se aplican únicamente para los contratos de construcción y están incluidos dentro del contrato de ejecución de obra</w:t>
            </w:r>
            <w:r w:rsidRPr="00946148">
              <w:t>.</w:t>
            </w:r>
          </w:p>
          <w:p w14:paraId="487F7E6F" w14:textId="77777777" w:rsidR="00946148" w:rsidRPr="00946148" w:rsidRDefault="00946148" w:rsidP="00944CCE">
            <w:pPr>
              <w:jc w:val="both"/>
            </w:pPr>
            <w:r w:rsidRPr="00946148">
              <w:t>Por el contrario, en los contratos de suministro no se aplica el concepto de AIU. En estos casos, los posibles imprevistos deben ser considerados al calcular los costos unitarios de las actividades a realizar. Además, los contratos de suministro incluirán el Impuesto al Valor Agregado (IVA) cuando sea aplicable.</w:t>
            </w:r>
          </w:p>
          <w:p w14:paraId="2A17B662" w14:textId="7268F6A3" w:rsidR="00946148" w:rsidRDefault="00946148" w:rsidP="00944CCE">
            <w:pPr>
              <w:jc w:val="both"/>
            </w:pPr>
          </w:p>
        </w:tc>
      </w:tr>
      <w:tr w:rsidR="002A35EF" w14:paraId="57F47509" w14:textId="77777777" w:rsidTr="002A35EF">
        <w:tc>
          <w:tcPr>
            <w:tcW w:w="2056" w:type="dxa"/>
          </w:tcPr>
          <w:p w14:paraId="626DA2DA" w14:textId="3AAB26ED" w:rsidR="002A35EF" w:rsidRDefault="002A35EF">
            <w:r w:rsidRPr="002A35EF">
              <w:t>Ci = Costos Indirectos</w:t>
            </w:r>
          </w:p>
        </w:tc>
        <w:tc>
          <w:tcPr>
            <w:tcW w:w="6772" w:type="dxa"/>
          </w:tcPr>
          <w:p w14:paraId="230D8001" w14:textId="406C8565" w:rsidR="002A35EF" w:rsidRDefault="00463DBC" w:rsidP="00944CCE">
            <w:pPr>
              <w:jc w:val="both"/>
            </w:pPr>
            <w:r w:rsidRPr="00463DBC">
              <w:t>Se refieren a los gastos que no están ligados directamente a la ejecución de la obra. Incluyen conceptos como impuestos, seguros, el costo de conectar servicios públicos y los pagos a profesionales por sus servicios.</w:t>
            </w:r>
          </w:p>
        </w:tc>
      </w:tr>
      <w:tr w:rsidR="002A35EF" w14:paraId="418DAE67" w14:textId="77777777" w:rsidTr="002A35EF">
        <w:tc>
          <w:tcPr>
            <w:tcW w:w="2056" w:type="dxa"/>
          </w:tcPr>
          <w:p w14:paraId="583ACFD5" w14:textId="10A8A2A4" w:rsidR="002A35EF" w:rsidRDefault="00463DBC">
            <w:r>
              <w:t xml:space="preserve">I </w:t>
            </w:r>
            <w:r w:rsidR="002A35EF" w:rsidRPr="002A35EF">
              <w:t>= Interventoría</w:t>
            </w:r>
          </w:p>
        </w:tc>
        <w:tc>
          <w:tcPr>
            <w:tcW w:w="6772" w:type="dxa"/>
          </w:tcPr>
          <w:p w14:paraId="6343F7FE" w14:textId="62825F9F" w:rsidR="00CD1854" w:rsidRDefault="00CD1854" w:rsidP="00944CCE">
            <w:pPr>
              <w:jc w:val="both"/>
            </w:pPr>
            <w:r w:rsidRPr="00CD1854">
              <w:t>Los costos de la interventoría forman parte del presupuesto general del proyecto y deben corresponder al tiempo y esfuerzo que esta labor demanda. La interventoría tiene la responsabilidad de supervisar la totalidad del proyecto ante la EDC y debe contar con personal capacitado para cumplir sus funciones. El valor de la interventoría no se calcula como un porcentaje del costo total del proyecto, sino que se determina según las actividades específicas que realizará en el contexto del proyecto presentado. Este rubro solo se incluirá si la EDC considera que la interventoría es necesaria; de lo contrario, la propia EDC deberá encargarse de la supervisión del convenio</w:t>
            </w:r>
          </w:p>
        </w:tc>
      </w:tr>
      <w:tr w:rsidR="002A35EF" w14:paraId="52CDF662" w14:textId="77777777" w:rsidTr="002A35EF">
        <w:tc>
          <w:tcPr>
            <w:tcW w:w="2056" w:type="dxa"/>
          </w:tcPr>
          <w:p w14:paraId="73688B2B" w14:textId="276FA797" w:rsidR="002A35EF" w:rsidRDefault="002A35EF">
            <w:r w:rsidRPr="002A35EF">
              <w:t>F = Fiducia</w:t>
            </w:r>
          </w:p>
        </w:tc>
        <w:tc>
          <w:tcPr>
            <w:tcW w:w="6772" w:type="dxa"/>
          </w:tcPr>
          <w:p w14:paraId="0CAFE417" w14:textId="4ABA1A02" w:rsidR="001E4F2D" w:rsidRDefault="001E4F2D" w:rsidP="00944CCE">
            <w:pPr>
              <w:jc w:val="both"/>
            </w:pPr>
            <w:r w:rsidRPr="001E4F2D">
              <w:t>Este rubro corresponde a la tarifa o comisión que se paga a una entidad fiduciaria por administrar el patrimonio autónomo, cuyo valor en este caso equivale al costo del contrato de interventoría. Por lo tanto, si la EDC no solicita la contratación de una interventoría, el presupuesto del proyecto no debe incluir el gasto de fiducia asociado.</w:t>
            </w:r>
          </w:p>
        </w:tc>
      </w:tr>
      <w:tr w:rsidR="002A35EF" w14:paraId="11E6C30A" w14:textId="77777777" w:rsidTr="002A35EF">
        <w:tc>
          <w:tcPr>
            <w:tcW w:w="2056" w:type="dxa"/>
          </w:tcPr>
          <w:p w14:paraId="5F6B5AF0" w14:textId="6B3E6D60" w:rsidR="002A35EF" w:rsidRDefault="002A35EF">
            <w:r w:rsidRPr="002A35EF">
              <w:t>Rc = Rubro contingente</w:t>
            </w:r>
          </w:p>
        </w:tc>
        <w:tc>
          <w:tcPr>
            <w:tcW w:w="6772" w:type="dxa"/>
          </w:tcPr>
          <w:p w14:paraId="094FA917" w14:textId="77777777" w:rsidR="002A35EF" w:rsidRDefault="002A35EF" w:rsidP="00944CCE">
            <w:pPr>
              <w:jc w:val="both"/>
            </w:pPr>
            <w:r w:rsidRPr="002A35EF">
              <w:t>Cuando se presenten eventos eximentes de responsabilidad, los cuales impliquen que la ejecución del proyecto se convierta en excepcionalmente gravosa para el ejecutor, se prevé la posibilidad de que este acceda al rubro contingente aprobado, como una medida que mantenga el equilibrio de la ecuación económica y financiera del proyecto. Este rubro, tiene su naturaleza en la teoría de la imprevisión, la cual reza que cuando se conformen situaciones extraordinarias, ajenas a la voluntad de las partes, que sean de naturaleza imprevisible y que se presenten con posterioridad a la celebración del contrato, alteran la ecuación financiera del mismo en forma grave y anormal, sin imposibilitar su ejecución.</w:t>
            </w:r>
          </w:p>
          <w:p w14:paraId="0BB6609B" w14:textId="77777777" w:rsidR="002A35EF" w:rsidRDefault="002A35EF" w:rsidP="00944CCE">
            <w:pPr>
              <w:jc w:val="both"/>
            </w:pPr>
          </w:p>
          <w:p w14:paraId="20C61E39" w14:textId="77777777" w:rsidR="006E100C" w:rsidRDefault="002A35EF" w:rsidP="00944CCE">
            <w:pPr>
              <w:jc w:val="both"/>
            </w:pPr>
            <w:r w:rsidRPr="002A35EF">
              <w:t xml:space="preserve">En el caso de los proyectos de Obras por Impuestos </w:t>
            </w:r>
            <w:r w:rsidR="006E100C">
              <w:t xml:space="preserve">durante la estructuración se debe definir el porcentaje del rurbro contingente como un porcentaje </w:t>
            </w:r>
            <w:r w:rsidRPr="002A35EF">
              <w:t>del valor de los costos directos y podrá ser usado cuando el contribuyente y la gerencia lo soliciten previo concepto de la interventoría y bajo la autorización de la E</w:t>
            </w:r>
            <w:r w:rsidR="0029700F">
              <w:t>D</w:t>
            </w:r>
            <w:r w:rsidRPr="002A35EF">
              <w:t xml:space="preserve">C, cuando se cumplan las siguientes situaciones: </w:t>
            </w:r>
          </w:p>
          <w:p w14:paraId="3F0EAACF" w14:textId="77777777" w:rsidR="006B6D4A" w:rsidRPr="006B6D4A" w:rsidRDefault="006B6D4A" w:rsidP="00944CCE">
            <w:pPr>
              <w:numPr>
                <w:ilvl w:val="0"/>
                <w:numId w:val="1"/>
              </w:numPr>
              <w:jc w:val="both"/>
            </w:pPr>
            <w:r w:rsidRPr="006B6D4A">
              <w:t>Que ocurra un hecho externo a las partes después de la firma del contrato.</w:t>
            </w:r>
          </w:p>
          <w:p w14:paraId="30BBA4F0" w14:textId="77777777" w:rsidR="006B6D4A" w:rsidRPr="006B6D4A" w:rsidRDefault="006B6D4A" w:rsidP="00944CCE">
            <w:pPr>
              <w:numPr>
                <w:ilvl w:val="0"/>
                <w:numId w:val="1"/>
              </w:numPr>
              <w:jc w:val="both"/>
            </w:pPr>
            <w:r w:rsidRPr="006B6D4A">
              <w:t>Que dicho hecho altere de forma extraordinaria y anormal el balance financiero del contrato.</w:t>
            </w:r>
          </w:p>
          <w:p w14:paraId="29B34795" w14:textId="77777777" w:rsidR="006B6D4A" w:rsidRPr="006B6D4A" w:rsidRDefault="006B6D4A" w:rsidP="00944CCE">
            <w:pPr>
              <w:numPr>
                <w:ilvl w:val="0"/>
                <w:numId w:val="1"/>
              </w:numPr>
              <w:jc w:val="both"/>
            </w:pPr>
            <w:r w:rsidRPr="006B6D4A">
              <w:t>Que el hecho no fuera razonablemente previsible para los contratistas al momento de contratar.</w:t>
            </w:r>
          </w:p>
          <w:p w14:paraId="5DCDE20A" w14:textId="77777777" w:rsidR="006B6D4A" w:rsidRPr="006B6D4A" w:rsidRDefault="006B6D4A" w:rsidP="00944CCE">
            <w:pPr>
              <w:numPr>
                <w:ilvl w:val="0"/>
                <w:numId w:val="1"/>
              </w:numPr>
              <w:jc w:val="both"/>
            </w:pPr>
            <w:r w:rsidRPr="006B6D4A">
              <w:t>Que los eventos a cubrir no estén ya incluidos en los imprevistos (del AIU) ni cubiertos por la póliza "todo riesgo".</w:t>
            </w:r>
          </w:p>
          <w:p w14:paraId="348CA01A" w14:textId="168FC6A0" w:rsidR="006B6D4A" w:rsidRDefault="006B6D4A" w:rsidP="00944CCE">
            <w:pPr>
              <w:jc w:val="both"/>
            </w:pPr>
            <w:r w:rsidRPr="006B6D4A">
              <w:t>En el caso de contratos de suministro, el rubro contingente podrá utilizarse si se materializa alguna de las dos primeras condiciones (existencia de un hecho exógeno o alteración extraordinaria del balance financiero).</w:t>
            </w:r>
          </w:p>
        </w:tc>
      </w:tr>
      <w:tr w:rsidR="002A35EF" w14:paraId="27E98396" w14:textId="77777777" w:rsidTr="002A35EF">
        <w:tc>
          <w:tcPr>
            <w:tcW w:w="2056" w:type="dxa"/>
          </w:tcPr>
          <w:p w14:paraId="5CD515F2" w14:textId="52AF88B0" w:rsidR="002A35EF" w:rsidRDefault="002A35EF">
            <w:r w:rsidRPr="002A35EF">
              <w:t>Ec = Estudios complementarios</w:t>
            </w:r>
          </w:p>
        </w:tc>
        <w:tc>
          <w:tcPr>
            <w:tcW w:w="6772" w:type="dxa"/>
          </w:tcPr>
          <w:p w14:paraId="75B7D168" w14:textId="450A10C2" w:rsidR="002A35EF" w:rsidRDefault="00944CCE" w:rsidP="00944CCE">
            <w:pPr>
              <w:jc w:val="both"/>
            </w:pPr>
            <w:r w:rsidRPr="00944CCE">
              <w:t>Este rubro abarca los estudios y planes adicionales que podrían ser necesarios durante la ejecución del proyecto, dependiendo de su complejidad, y que no tienen que ser realizados obligatoriamente por el contratista de obra principal. Ejemplos de estos incluyen la puesta en marcha de planes ambientales o de manejo de tráfico, la elaboración del Plan de Adaptación de la Guía Ambiental (PAGA), o estudios técnicos específicos como la caracterización de vías y sondeos de pozos. Estos estudios complementarios podrán requerirse, siempre con la debida justificación, si los estudios definitivos previos prevén algún grado de incertidumbre. La solicitud y aprobación de estos estudios debe ser realizada por la EDC al momento de dar viabilidad al proyecto.</w:t>
            </w:r>
          </w:p>
        </w:tc>
      </w:tr>
      <w:tr w:rsidR="002A35EF" w14:paraId="19D636ED" w14:textId="77777777" w:rsidTr="002A35EF">
        <w:tc>
          <w:tcPr>
            <w:tcW w:w="2056" w:type="dxa"/>
          </w:tcPr>
          <w:p w14:paraId="5A6E9609" w14:textId="34CE352E" w:rsidR="002A35EF" w:rsidRDefault="002A35EF">
            <w:r w:rsidRPr="002A35EF">
              <w:t>GMF = Gravámenes Financieros</w:t>
            </w:r>
          </w:p>
        </w:tc>
        <w:tc>
          <w:tcPr>
            <w:tcW w:w="6772" w:type="dxa"/>
          </w:tcPr>
          <w:p w14:paraId="5F7EAD96" w14:textId="35EBFB1A" w:rsidR="002A35EF" w:rsidRDefault="00944CCE" w:rsidP="00944CCE">
            <w:pPr>
              <w:jc w:val="both"/>
            </w:pPr>
            <w:r w:rsidRPr="00944CCE">
              <w:t>Dentro del presupuesto se incluirán los costos</w:t>
            </w:r>
            <w:r>
              <w:t xml:space="preserve"> </w:t>
            </w:r>
            <w:r w:rsidRPr="00944CCE">
              <w:t>correspondientes al Gravamen a los Movimientos Financieros (conocido como 4x1000), específicamente aquellos generados por las transacciones y desembolsos del proyecto que sean gestionados a través del encargo fiduciario.</w:t>
            </w:r>
          </w:p>
        </w:tc>
      </w:tr>
    </w:tbl>
    <w:p w14:paraId="351BBAD9" w14:textId="77777777" w:rsidR="002A35EF" w:rsidRDefault="002A35EF"/>
    <w:sectPr w:rsidR="002A35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F32B4"/>
    <w:multiLevelType w:val="multilevel"/>
    <w:tmpl w:val="BBBE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40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EF"/>
    <w:rsid w:val="00083CED"/>
    <w:rsid w:val="001C0BA1"/>
    <w:rsid w:val="001E290C"/>
    <w:rsid w:val="001E4F2D"/>
    <w:rsid w:val="0029700F"/>
    <w:rsid w:val="002A35EF"/>
    <w:rsid w:val="002D19DB"/>
    <w:rsid w:val="003F3873"/>
    <w:rsid w:val="00410742"/>
    <w:rsid w:val="00463DBC"/>
    <w:rsid w:val="004A3C5E"/>
    <w:rsid w:val="00591DBC"/>
    <w:rsid w:val="00683C93"/>
    <w:rsid w:val="006B6D4A"/>
    <w:rsid w:val="006E100C"/>
    <w:rsid w:val="007D19D8"/>
    <w:rsid w:val="007D1E40"/>
    <w:rsid w:val="008C4735"/>
    <w:rsid w:val="008F738B"/>
    <w:rsid w:val="0092633C"/>
    <w:rsid w:val="00944CCE"/>
    <w:rsid w:val="00946148"/>
    <w:rsid w:val="00BA2F8C"/>
    <w:rsid w:val="00BF63D4"/>
    <w:rsid w:val="00BF6713"/>
    <w:rsid w:val="00CD1854"/>
    <w:rsid w:val="00CE77DC"/>
    <w:rsid w:val="00D0710F"/>
    <w:rsid w:val="00E66C96"/>
    <w:rsid w:val="00E83D00"/>
    <w:rsid w:val="00F63F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AF87"/>
  <w15:chartTrackingRefBased/>
  <w15:docId w15:val="{DFA5B48B-2562-47C2-852F-2B07F4E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A3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A3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A35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A35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A35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A35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A35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A35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A35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A35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A35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A35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A35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A35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A35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A35E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A35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A35EF"/>
    <w:rPr>
      <w:rFonts w:eastAsiaTheme="majorEastAsia" w:cstheme="majorBidi"/>
      <w:color w:val="272727" w:themeColor="text1" w:themeTint="D8"/>
    </w:rPr>
  </w:style>
  <w:style w:type="paragraph" w:styleId="Ttulo">
    <w:name w:val="Title"/>
    <w:basedOn w:val="Normal"/>
    <w:next w:val="Normal"/>
    <w:link w:val="TtuloChar"/>
    <w:uiPriority w:val="10"/>
    <w:qFormat/>
    <w:rsid w:val="002A3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A35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A35E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A35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A35EF"/>
    <w:pPr>
      <w:spacing w:before="160"/>
      <w:jc w:val="center"/>
    </w:pPr>
    <w:rPr>
      <w:i/>
      <w:iCs/>
      <w:color w:val="404040" w:themeColor="text1" w:themeTint="BF"/>
    </w:rPr>
  </w:style>
  <w:style w:type="character" w:customStyle="1" w:styleId="CitaoChar">
    <w:name w:val="Citação Char"/>
    <w:basedOn w:val="Fontepargpadro"/>
    <w:link w:val="Citao"/>
    <w:uiPriority w:val="29"/>
    <w:rsid w:val="002A35EF"/>
    <w:rPr>
      <w:i/>
      <w:iCs/>
      <w:color w:val="404040" w:themeColor="text1" w:themeTint="BF"/>
    </w:rPr>
  </w:style>
  <w:style w:type="paragraph" w:styleId="PargrafodaLista">
    <w:name w:val="List Paragraph"/>
    <w:basedOn w:val="Normal"/>
    <w:uiPriority w:val="34"/>
    <w:qFormat/>
    <w:rsid w:val="002A35EF"/>
    <w:pPr>
      <w:ind w:left="720"/>
      <w:contextualSpacing/>
    </w:pPr>
  </w:style>
  <w:style w:type="character" w:styleId="nfaseIntensa">
    <w:name w:val="Intense Emphasis"/>
    <w:basedOn w:val="Fontepargpadro"/>
    <w:uiPriority w:val="21"/>
    <w:qFormat/>
    <w:rsid w:val="002A35EF"/>
    <w:rPr>
      <w:i/>
      <w:iCs/>
      <w:color w:val="0F4761" w:themeColor="accent1" w:themeShade="BF"/>
    </w:rPr>
  </w:style>
  <w:style w:type="paragraph" w:styleId="CitaoIntensa">
    <w:name w:val="Intense Quote"/>
    <w:basedOn w:val="Normal"/>
    <w:next w:val="Normal"/>
    <w:link w:val="CitaoIntensaChar"/>
    <w:uiPriority w:val="30"/>
    <w:qFormat/>
    <w:rsid w:val="002A3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A35EF"/>
    <w:rPr>
      <w:i/>
      <w:iCs/>
      <w:color w:val="0F4761" w:themeColor="accent1" w:themeShade="BF"/>
    </w:rPr>
  </w:style>
  <w:style w:type="character" w:styleId="RefernciaIntensa">
    <w:name w:val="Intense Reference"/>
    <w:basedOn w:val="Fontepargpadro"/>
    <w:uiPriority w:val="32"/>
    <w:qFormat/>
    <w:rsid w:val="002A35EF"/>
    <w:rPr>
      <w:b/>
      <w:bCs/>
      <w:smallCaps/>
      <w:color w:val="0F4761" w:themeColor="accent1" w:themeShade="BF"/>
      <w:spacing w:val="5"/>
    </w:rPr>
  </w:style>
  <w:style w:type="table" w:styleId="Tabelacomgrade">
    <w:name w:val="Table Grid"/>
    <w:basedOn w:val="Tabelanormal"/>
    <w:uiPriority w:val="39"/>
    <w:rsid w:val="002A3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40069">
      <w:bodyDiv w:val="1"/>
      <w:marLeft w:val="0"/>
      <w:marRight w:val="0"/>
      <w:marTop w:val="0"/>
      <w:marBottom w:val="0"/>
      <w:divBdr>
        <w:top w:val="none" w:sz="0" w:space="0" w:color="auto"/>
        <w:left w:val="none" w:sz="0" w:space="0" w:color="auto"/>
        <w:bottom w:val="none" w:sz="0" w:space="0" w:color="auto"/>
        <w:right w:val="none" w:sz="0" w:space="0" w:color="auto"/>
      </w:divBdr>
    </w:div>
    <w:div w:id="320735343">
      <w:bodyDiv w:val="1"/>
      <w:marLeft w:val="0"/>
      <w:marRight w:val="0"/>
      <w:marTop w:val="0"/>
      <w:marBottom w:val="0"/>
      <w:divBdr>
        <w:top w:val="none" w:sz="0" w:space="0" w:color="auto"/>
        <w:left w:val="none" w:sz="0" w:space="0" w:color="auto"/>
        <w:bottom w:val="none" w:sz="0" w:space="0" w:color="auto"/>
        <w:right w:val="none" w:sz="0" w:space="0" w:color="auto"/>
      </w:divBdr>
    </w:div>
    <w:div w:id="802232511">
      <w:bodyDiv w:val="1"/>
      <w:marLeft w:val="0"/>
      <w:marRight w:val="0"/>
      <w:marTop w:val="0"/>
      <w:marBottom w:val="0"/>
      <w:divBdr>
        <w:top w:val="none" w:sz="0" w:space="0" w:color="auto"/>
        <w:left w:val="none" w:sz="0" w:space="0" w:color="auto"/>
        <w:bottom w:val="none" w:sz="0" w:space="0" w:color="auto"/>
        <w:right w:val="none" w:sz="0" w:space="0" w:color="auto"/>
      </w:divBdr>
    </w:div>
    <w:div w:id="1275868388">
      <w:bodyDiv w:val="1"/>
      <w:marLeft w:val="0"/>
      <w:marRight w:val="0"/>
      <w:marTop w:val="0"/>
      <w:marBottom w:val="0"/>
      <w:divBdr>
        <w:top w:val="none" w:sz="0" w:space="0" w:color="auto"/>
        <w:left w:val="none" w:sz="0" w:space="0" w:color="auto"/>
        <w:bottom w:val="none" w:sz="0" w:space="0" w:color="auto"/>
        <w:right w:val="none" w:sz="0" w:space="0" w:color="auto"/>
      </w:divBdr>
    </w:div>
    <w:div w:id="1488325604">
      <w:bodyDiv w:val="1"/>
      <w:marLeft w:val="0"/>
      <w:marRight w:val="0"/>
      <w:marTop w:val="0"/>
      <w:marBottom w:val="0"/>
      <w:divBdr>
        <w:top w:val="none" w:sz="0" w:space="0" w:color="auto"/>
        <w:left w:val="none" w:sz="0" w:space="0" w:color="auto"/>
        <w:bottom w:val="none" w:sz="0" w:space="0" w:color="auto"/>
        <w:right w:val="none" w:sz="0" w:space="0" w:color="auto"/>
      </w:divBdr>
    </w:div>
    <w:div w:id="157523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1047</Words>
  <Characters>5656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espitia</dc:creator>
  <cp:keywords/>
  <dc:description/>
  <cp:lastModifiedBy>Martha Adriana Amezquita Cardenas</cp:lastModifiedBy>
  <cp:revision>2</cp:revision>
  <dcterms:created xsi:type="dcterms:W3CDTF">2025-06-20T01:29:00Z</dcterms:created>
  <dcterms:modified xsi:type="dcterms:W3CDTF">2025-06-20T01:29:00Z</dcterms:modified>
</cp:coreProperties>
</file>