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43DA" w14:textId="77777777" w:rsidR="003B44AA" w:rsidRPr="00731E7C" w:rsidRDefault="003B44AA" w:rsidP="003B44AA">
      <w:pPr>
        <w:shd w:val="clear" w:color="auto" w:fill="FFFFFF"/>
        <w:jc w:val="center"/>
        <w:textAlignment w:val="center"/>
        <w:rPr>
          <w:rFonts w:ascii="Arial" w:hAnsi="Arial" w:cs="Arial"/>
        </w:rPr>
      </w:pPr>
      <w:bookmarkStart w:id="0" w:name="_GoBack"/>
      <w:bookmarkEnd w:id="0"/>
      <w:r w:rsidRPr="00731E7C">
        <w:rPr>
          <w:rFonts w:ascii="Arial" w:hAnsi="Arial" w:cs="Arial"/>
        </w:rPr>
        <w:t>EXPOSICIÓN DE MOTIVOS</w:t>
      </w:r>
    </w:p>
    <w:p w14:paraId="7EA1AEB3" w14:textId="77777777" w:rsidR="003B44AA" w:rsidRPr="00731E7C" w:rsidRDefault="003B44AA" w:rsidP="003B44AA">
      <w:pPr>
        <w:shd w:val="clear" w:color="auto" w:fill="FFFFFF"/>
        <w:jc w:val="center"/>
        <w:textAlignment w:val="center"/>
        <w:rPr>
          <w:rFonts w:ascii="Arial" w:hAnsi="Arial" w:cs="Arial"/>
        </w:rPr>
      </w:pPr>
    </w:p>
    <w:p w14:paraId="1BB80530" w14:textId="77777777" w:rsidR="003B44AA" w:rsidRPr="00731E7C" w:rsidRDefault="003B44AA" w:rsidP="003B44AA">
      <w:pPr>
        <w:jc w:val="center"/>
        <w:rPr>
          <w:rFonts w:ascii="Arial" w:hAnsi="Arial" w:cs="Arial"/>
          <w:i/>
          <w:iCs/>
        </w:rPr>
      </w:pPr>
      <w:r w:rsidRPr="00731E7C">
        <w:rPr>
          <w:rFonts w:ascii="Arial" w:hAnsi="Arial" w:cs="Arial"/>
        </w:rPr>
        <w:t xml:space="preserve">Proyecto de Resolución </w:t>
      </w:r>
      <w:r w:rsidRPr="00731E7C">
        <w:rPr>
          <w:rFonts w:ascii="Arial" w:hAnsi="Arial" w:cs="Arial"/>
          <w:b/>
          <w:bCs/>
          <w:i/>
          <w:color w:val="000000"/>
          <w:shd w:val="clear" w:color="auto" w:fill="FFFFFF"/>
        </w:rPr>
        <w:t>“</w:t>
      </w:r>
      <w:r w:rsidRPr="00731E7C">
        <w:rPr>
          <w:rFonts w:ascii="Arial" w:hAnsi="Arial" w:cs="Arial"/>
          <w:i/>
          <w:iCs/>
        </w:rPr>
        <w:t>Por la cual se adopta el Plan de Incentivos y Estímulos para los servidores públicos de la Secretaría Distrital de Hacienda”</w:t>
      </w:r>
    </w:p>
    <w:p w14:paraId="7DABB529" w14:textId="77777777" w:rsidR="003B44AA" w:rsidRPr="00731E7C" w:rsidRDefault="003B44AA" w:rsidP="003B44AA">
      <w:pPr>
        <w:shd w:val="clear" w:color="auto" w:fill="FFFFFF"/>
        <w:textAlignment w:val="center"/>
        <w:rPr>
          <w:rFonts w:ascii="Arial" w:hAnsi="Arial" w:cs="Arial"/>
        </w:rPr>
      </w:pPr>
    </w:p>
    <w:p w14:paraId="3F51E4F9" w14:textId="77777777" w:rsidR="003B44AA" w:rsidRPr="00731E7C" w:rsidRDefault="003B44AA" w:rsidP="003B44AA">
      <w:pPr>
        <w:shd w:val="clear" w:color="auto" w:fill="FFFFFF"/>
        <w:jc w:val="both"/>
        <w:textAlignment w:val="center"/>
        <w:rPr>
          <w:rFonts w:ascii="Arial" w:hAnsi="Arial" w:cs="Arial"/>
          <w:color w:val="000000"/>
        </w:rPr>
      </w:pPr>
      <w:r w:rsidRPr="00731E7C">
        <w:rPr>
          <w:rFonts w:ascii="Arial" w:hAnsi="Arial" w:cs="Arial"/>
        </w:rPr>
        <w:t>Mediante el Decreto Ley </w:t>
      </w:r>
      <w:hyperlink r:id="rId11" w:anchor="0" w:history="1">
        <w:r w:rsidRPr="00731E7C">
          <w:rPr>
            <w:rFonts w:ascii="Arial" w:hAnsi="Arial" w:cs="Arial"/>
          </w:rPr>
          <w:t>1567</w:t>
        </w:r>
      </w:hyperlink>
      <w:r w:rsidRPr="00731E7C">
        <w:rPr>
          <w:rFonts w:ascii="Arial" w:hAnsi="Arial" w:cs="Arial"/>
        </w:rPr>
        <w:t> de 1998, se creó el Sistema Nacional de Capacitación y el Sistema de Estímulos para los empleados del Estado y en su artículo 30 se señala que: “</w:t>
      </w:r>
      <w:r w:rsidRPr="00731E7C">
        <w:rPr>
          <w:rFonts w:ascii="Arial" w:hAnsi="Arial" w:cs="Arial"/>
          <w:i/>
        </w:rPr>
        <w:t>Para reconocer el desempeño en niveles de excelencia podrán organizarse planes de incentivos pecuniarios y planes de incentivos no pecuniarios. Tendrá derecho a incentivos pecuniarios y no pecuniarios todos los empleados de carrera, así como los de libre nombramiento y remoción de los niveles profesional; técnico, administrativo y operativo</w:t>
      </w:r>
      <w:r w:rsidRPr="00731E7C">
        <w:rPr>
          <w:rFonts w:ascii="Arial" w:hAnsi="Arial" w:cs="Arial"/>
        </w:rPr>
        <w:t xml:space="preserve">”, señalando igualmente </w:t>
      </w:r>
      <w:r w:rsidRPr="00731E7C">
        <w:rPr>
          <w:rFonts w:ascii="Arial" w:hAnsi="Arial" w:cs="Arial"/>
          <w:color w:val="000000"/>
        </w:rPr>
        <w:t>los aspectos que cada entidad debe tener en cuenta para asignar los incentivos (artículo 36).</w:t>
      </w:r>
    </w:p>
    <w:p w14:paraId="43CA00B2" w14:textId="77777777" w:rsidR="003B44AA" w:rsidRPr="00731E7C" w:rsidRDefault="003B44AA" w:rsidP="003B44AA">
      <w:pPr>
        <w:shd w:val="clear" w:color="auto" w:fill="FFFFFF"/>
        <w:jc w:val="both"/>
        <w:textAlignment w:val="center"/>
        <w:rPr>
          <w:rFonts w:ascii="Arial" w:hAnsi="Arial" w:cs="Arial"/>
        </w:rPr>
      </w:pPr>
    </w:p>
    <w:p w14:paraId="37897725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1E7C">
        <w:rPr>
          <w:rFonts w:ascii="Arial" w:hAnsi="Arial" w:cs="Arial"/>
        </w:rPr>
        <w:t>Por otra parte, el Decreto Nacional 1083 de 2015, compilatorio del Decreto </w:t>
      </w:r>
      <w:hyperlink r:id="rId12" w:anchor="0" w:history="1">
        <w:r w:rsidRPr="00731E7C">
          <w:rPr>
            <w:rFonts w:ascii="Arial" w:hAnsi="Arial" w:cs="Arial"/>
          </w:rPr>
          <w:t>1227</w:t>
        </w:r>
      </w:hyperlink>
      <w:r w:rsidRPr="00731E7C">
        <w:rPr>
          <w:rFonts w:ascii="Arial" w:hAnsi="Arial" w:cs="Arial"/>
        </w:rPr>
        <w:t> de abril 21 de 2005 y por el cual se reglamenta parcialmente la Ley 909 de 2004, prevé  el sistema de estímulos y en su artículo 2.2.10.1, establece que “</w:t>
      </w:r>
      <w:r w:rsidRPr="00731E7C">
        <w:rPr>
          <w:rFonts w:ascii="Arial" w:hAnsi="Arial" w:cs="Arial"/>
          <w:i/>
        </w:rPr>
        <w:t>las entidades deberán organizar programas de estímulos con el fin de motivar el desempeño eficaz y el compromiso de sus empleados</w:t>
      </w:r>
      <w:r w:rsidRPr="00731E7C">
        <w:rPr>
          <w:rFonts w:ascii="Arial" w:hAnsi="Arial" w:cs="Arial"/>
        </w:rPr>
        <w:t>.”, y a su vez establece que los planes de incentivos propician “</w:t>
      </w:r>
      <w:r w:rsidRPr="00731E7C">
        <w:rPr>
          <w:rFonts w:ascii="Arial" w:hAnsi="Arial" w:cs="Arial"/>
          <w:i/>
        </w:rPr>
        <w:t>una cultura de trabajo orientada a la calidad y productividad bajo un esquema de mayor compromiso con los objetivos de las entidades</w:t>
      </w:r>
      <w:r w:rsidRPr="00731E7C">
        <w:rPr>
          <w:rFonts w:ascii="Arial" w:hAnsi="Arial" w:cs="Arial"/>
        </w:rPr>
        <w:t>.”</w:t>
      </w:r>
    </w:p>
    <w:p w14:paraId="2FAC8F0C" w14:textId="77777777" w:rsidR="003B44AA" w:rsidRPr="00731E7C" w:rsidRDefault="003B44AA" w:rsidP="003B44A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31E7C">
        <w:rPr>
          <w:rFonts w:ascii="Arial" w:hAnsi="Arial" w:cs="Arial"/>
          <w:color w:val="000000"/>
          <w:sz w:val="20"/>
          <w:szCs w:val="20"/>
        </w:rPr>
        <w:t>De acuerdo con los artículos 2.2.10.9 y siguientes del Decreto Nacional 1083 de 2015, el jefe de cada entidad adoptará anualmente el plan de Incentivos institucionales y señalará el procedimiento para la selección de los mejores empleados de carrera y de libre nombramiento y remoción, así como para la selección y evaluación de los equipos de trabajo y los criterios para dirimir los empates.</w:t>
      </w:r>
    </w:p>
    <w:p w14:paraId="09F89994" w14:textId="77777777" w:rsidR="003B44AA" w:rsidRPr="00731E7C" w:rsidRDefault="003B44AA" w:rsidP="003B44A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31E7C">
        <w:rPr>
          <w:rFonts w:ascii="Arial" w:hAnsi="Arial" w:cs="Arial"/>
          <w:color w:val="000000"/>
          <w:sz w:val="20"/>
          <w:szCs w:val="20"/>
          <w:shd w:val="clear" w:color="auto" w:fill="FFFFFF"/>
        </w:rPr>
        <w:t>En consonancia con las normas citadas, la Directiva No. </w:t>
      </w:r>
      <w:hyperlink r:id="rId13" w:anchor="0" w:history="1">
        <w:r w:rsidRPr="00731E7C">
          <w:rPr>
            <w:rFonts w:ascii="Arial" w:hAnsi="Arial" w:cs="Arial"/>
            <w:color w:val="000000"/>
            <w:sz w:val="20"/>
            <w:szCs w:val="20"/>
          </w:rPr>
          <w:t>001</w:t>
        </w:r>
      </w:hyperlink>
      <w:r w:rsidRPr="00731E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del 6 de febrero de 2015, expedida por el Departamento Administrativo del Servicio Civil Distrital se establecieron lineamientos distritales para adoptar los programas de bienestar e incentivos y mediante la Directiva 002 del 8 de marzo de 2017, expedida por el Alcalde Mayor de Bogotá D.C., se establecieron l</w:t>
      </w:r>
      <w:r w:rsidRPr="00731E7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ineamientos de bienestar en las entidades distritales</w:t>
      </w:r>
    </w:p>
    <w:p w14:paraId="21286A8E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31E7C">
        <w:rPr>
          <w:rFonts w:ascii="Arial" w:hAnsi="Arial" w:cs="Arial"/>
          <w:shd w:val="clear" w:color="auto" w:fill="FFFFFF"/>
        </w:rPr>
        <w:t>Igualmente, el artículo 2.2.22.3.2. del Decreto 1499 de 2017 define el Modelo Integrado de Planeación y Gestión – MIPG como un marco de referencia para dirigir, planear, ejecutar, hacer seguimiento, evaluar y controlar la gestión de las entidades y organismos públicos, con el fin de generar resultados que atiendan los planes de desarrollo y resuelvan las necesidades y problemas de los ciudadanos, con integridad y calidad en el servicio.</w:t>
      </w:r>
    </w:p>
    <w:p w14:paraId="268C8E5F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14:paraId="793EA29B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731E7C">
        <w:rPr>
          <w:rFonts w:ascii="Arial" w:hAnsi="Arial" w:cs="Arial"/>
          <w:color w:val="000000"/>
          <w:shd w:val="clear" w:color="auto" w:fill="FFFFFF"/>
        </w:rPr>
        <w:t>Dentro del MIPG se encuentra la dimensión de Talento Humano como corazón del Modelo que orienta el ingreso y desarrollo de los servidores garantizando, el principio de mérito en la provisión de los empleos, el desarrollo de competencias, la prestación del servicio, la aplicación de estímulos y el desempeño individual.</w:t>
      </w:r>
    </w:p>
    <w:p w14:paraId="72F11B2D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AC8BC1" w14:textId="701C052F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731E7C">
        <w:rPr>
          <w:rFonts w:ascii="Arial" w:hAnsi="Arial" w:cs="Arial"/>
          <w:color w:val="000000"/>
          <w:shd w:val="clear" w:color="auto" w:fill="FFFFFF"/>
        </w:rPr>
        <w:t xml:space="preserve">Todo lo anterior, conlleva a realizar una actualización de la resolución </w:t>
      </w:r>
      <w:r w:rsidRPr="00731E7C">
        <w:rPr>
          <w:rFonts w:ascii="Arial" w:hAnsi="Arial" w:cs="Arial"/>
        </w:rPr>
        <w:t>No. SDH-000177 del 05 de agosto de 2015 que adoptó el Programa de Incentivos Institucionales para la Secretaría Distrital de Hacienda</w:t>
      </w:r>
      <w:r w:rsidR="00246A97">
        <w:rPr>
          <w:rFonts w:ascii="Arial" w:hAnsi="Arial" w:cs="Arial"/>
        </w:rPr>
        <w:t xml:space="preserve">, </w:t>
      </w:r>
      <w:r w:rsidR="00D32D32">
        <w:rPr>
          <w:rFonts w:ascii="Arial" w:hAnsi="Arial" w:cs="Arial"/>
        </w:rPr>
        <w:t>enmarcándolos en tales lineamientos y con miras a incentivar las distintas actividades que aportan al desarrollo del capital humano y de la misionalidad de esta entidad.</w:t>
      </w:r>
    </w:p>
    <w:p w14:paraId="447A2F13" w14:textId="77777777" w:rsidR="003B44AA" w:rsidRPr="00731E7C" w:rsidRDefault="003B44AA" w:rsidP="003B44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3B44AA" w:rsidRPr="00731E7C" w:rsidSect="00B851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1985" w:right="1701" w:bottom="198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2CE9" w14:textId="77777777" w:rsidR="00675D93" w:rsidRDefault="00675D93">
      <w:r>
        <w:separator/>
      </w:r>
    </w:p>
  </w:endnote>
  <w:endnote w:type="continuationSeparator" w:id="0">
    <w:p w14:paraId="18D45EE4" w14:textId="77777777" w:rsidR="00675D93" w:rsidRDefault="006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27B0" w14:textId="77777777" w:rsidR="00246A97" w:rsidRDefault="00246A97">
    <w:pPr>
      <w:pStyle w:val="Piedepgina"/>
    </w:pPr>
  </w:p>
  <w:p w14:paraId="3A8E7EA1" w14:textId="77777777" w:rsidR="00246A97" w:rsidRDefault="00246A9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475BEE" wp14:editId="639E7A46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368A4" w14:textId="77777777" w:rsidR="00246A97" w:rsidRPr="003533F0" w:rsidRDefault="00246A9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701260F3" w14:textId="77777777" w:rsidR="00246A97" w:rsidRPr="003533F0" w:rsidRDefault="00246A9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0C1E3068" w14:textId="77777777" w:rsidR="00246A97" w:rsidRPr="003533F0" w:rsidRDefault="00246A97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7D33CF6F" w14:textId="77777777" w:rsidR="00246A97" w:rsidRDefault="00246A97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75B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VY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" filled="f" stroked="f">
              <v:textbox>
                <w:txbxContent>
                  <w:p w14:paraId="774368A4" w14:textId="77777777" w:rsidR="00246A97" w:rsidRPr="003533F0" w:rsidRDefault="00246A9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701260F3" w14:textId="77777777" w:rsidR="00246A97" w:rsidRPr="003533F0" w:rsidRDefault="00246A9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0C1E3068" w14:textId="77777777" w:rsidR="00246A97" w:rsidRPr="003533F0" w:rsidRDefault="00246A97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7D33CF6F" w14:textId="77777777" w:rsidR="00246A97" w:rsidRDefault="00246A97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4C67" w14:textId="77777777" w:rsidR="00246A97" w:rsidRDefault="00246A97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51C5ADD7" wp14:editId="27AAFCDB">
          <wp:simplePos x="0" y="0"/>
          <wp:positionH relativeFrom="column">
            <wp:posOffset>1640840</wp:posOffset>
          </wp:positionH>
          <wp:positionV relativeFrom="paragraph">
            <wp:posOffset>-408940</wp:posOffset>
          </wp:positionV>
          <wp:extent cx="654685" cy="719455"/>
          <wp:effectExtent l="0" t="0" r="5715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elogoSGS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B318AD" wp14:editId="22C68AC1">
              <wp:simplePos x="0" y="0"/>
              <wp:positionH relativeFrom="column">
                <wp:posOffset>-285115</wp:posOffset>
              </wp:positionH>
              <wp:positionV relativeFrom="paragraph">
                <wp:posOffset>-388924</wp:posOffset>
              </wp:positionV>
              <wp:extent cx="1491615" cy="699135"/>
              <wp:effectExtent l="0" t="0" r="0" b="5715"/>
              <wp:wrapSquare wrapText="bothSides"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F2B7B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Carrera 30 No. 25-90</w:t>
                          </w:r>
                        </w:p>
                        <w:p w14:paraId="4A93E5A6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 Postal 111311</w:t>
                          </w:r>
                        </w:p>
                        <w:p w14:paraId="26DDF496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PBX: (571) 338 5000</w:t>
                          </w:r>
                        </w:p>
                        <w:p w14:paraId="2BFCEBD2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rmación</w:t>
                          </w: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Línea 195</w:t>
                          </w:r>
                        </w:p>
                        <w:p w14:paraId="20EF9C26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www.haciendabogota.gov.co</w:t>
                          </w:r>
                        </w:p>
                        <w:p w14:paraId="234634E0" w14:textId="77777777" w:rsidR="00246A97" w:rsidRPr="00152F99" w:rsidRDefault="00246A97" w:rsidP="00342F9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Nit</w:t>
                          </w:r>
                          <w:proofErr w:type="spellEnd"/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 899.999.061-9</w:t>
                          </w:r>
                        </w:p>
                        <w:p w14:paraId="57672B66" w14:textId="77777777" w:rsidR="00246A97" w:rsidRPr="003626D5" w:rsidRDefault="00246A97" w:rsidP="00162B2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2F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Bogotá, Distrito Capital –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318A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-22.45pt;margin-top:-30.6pt;width:117.45pt;height:5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uM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" stroked="f">
              <v:textbox inset="0,0,0,0">
                <w:txbxContent>
                  <w:p w14:paraId="56DF2B7B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Carrera 30 No. 25-90</w:t>
                    </w:r>
                  </w:p>
                  <w:p w14:paraId="4A93E5A6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Código Postal 111311</w:t>
                    </w:r>
                  </w:p>
                  <w:p w14:paraId="26DDF496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PBX: (571) 338 5000</w:t>
                    </w:r>
                  </w:p>
                  <w:p w14:paraId="2BFCEBD2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Info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rmación</w:t>
                    </w: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: Línea 195</w:t>
                    </w:r>
                  </w:p>
                  <w:p w14:paraId="20EF9C26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www.haciendabogota.gov.co</w:t>
                    </w:r>
                  </w:p>
                  <w:p w14:paraId="234634E0" w14:textId="77777777" w:rsidR="00246A97" w:rsidRPr="00152F99" w:rsidRDefault="00246A97" w:rsidP="00342F9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Nit</w:t>
                    </w:r>
                    <w:proofErr w:type="spellEnd"/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. 899.999.061-9</w:t>
                    </w:r>
                  </w:p>
                  <w:p w14:paraId="57672B66" w14:textId="77777777" w:rsidR="00246A97" w:rsidRPr="003626D5" w:rsidRDefault="00246A97" w:rsidP="00162B2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2F99">
                      <w:rPr>
                        <w:rFonts w:ascii="Arial" w:hAnsi="Arial" w:cs="Arial"/>
                        <w:sz w:val="12"/>
                        <w:szCs w:val="12"/>
                      </w:rPr>
                      <w:t>Bogotá, Distrito Capital – Colombia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4896" behindDoc="0" locked="0" layoutInCell="1" allowOverlap="1" wp14:anchorId="35C5C2CA" wp14:editId="7ECE8D74">
          <wp:simplePos x="0" y="0"/>
          <wp:positionH relativeFrom="column">
            <wp:posOffset>4577715</wp:posOffset>
          </wp:positionH>
          <wp:positionV relativeFrom="paragraph">
            <wp:posOffset>-406400</wp:posOffset>
          </wp:positionV>
          <wp:extent cx="1008888" cy="719328"/>
          <wp:effectExtent l="0" t="0" r="127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mat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15A5AF" wp14:editId="3A81FEDF">
              <wp:simplePos x="0" y="0"/>
              <wp:positionH relativeFrom="column">
                <wp:posOffset>1272540</wp:posOffset>
              </wp:positionH>
              <wp:positionV relativeFrom="paragraph">
                <wp:posOffset>-405765</wp:posOffset>
              </wp:positionV>
              <wp:extent cx="0" cy="720090"/>
              <wp:effectExtent l="0" t="0" r="0" b="0"/>
              <wp:wrapNone/>
              <wp:docPr id="3" name="AutoShap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A0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0" o:spid="_x0000_s1026" type="#_x0000_t32" style="position:absolute;margin-left:100.2pt;margin-top:-31.95pt;width:0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rxHgIAAD0EAAAOAAAAZHJzL2Uyb0RvYy54bWysU9uO2yAQfa/Uf0C8J7azbi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" strokeweight="1pt"/>
          </w:pict>
        </mc:Fallback>
      </mc:AlternateContent>
    </w:r>
  </w:p>
  <w:p w14:paraId="0F8DC172" w14:textId="77777777" w:rsidR="00246A97" w:rsidRDefault="00246A97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E534" w14:textId="77777777" w:rsidR="00246A97" w:rsidRDefault="00246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EB58" w14:textId="77777777" w:rsidR="00675D93" w:rsidRDefault="00675D93">
      <w:r>
        <w:separator/>
      </w:r>
    </w:p>
  </w:footnote>
  <w:footnote w:type="continuationSeparator" w:id="0">
    <w:p w14:paraId="1714D3A4" w14:textId="77777777" w:rsidR="00675D93" w:rsidRDefault="0067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229A" w14:textId="77777777" w:rsidR="00246A97" w:rsidRDefault="00246A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373F" w14:textId="77777777" w:rsidR="00246A97" w:rsidRPr="00B50543" w:rsidRDefault="00246A97">
    <w:pPr>
      <w:pStyle w:val="Encabezado"/>
      <w:jc w:val="center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2DF4DBF2" wp14:editId="25A698F9">
          <wp:extent cx="586105" cy="685800"/>
          <wp:effectExtent l="0" t="0" r="4445" b="0"/>
          <wp:docPr id="1" name="Imagen 1" descr="Hacienda 2012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ienda 2012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8FF5" w14:textId="77777777" w:rsidR="00246A97" w:rsidRDefault="00246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22CB6"/>
    <w:rsid w:val="00030530"/>
    <w:rsid w:val="00033018"/>
    <w:rsid w:val="0004540C"/>
    <w:rsid w:val="00086716"/>
    <w:rsid w:val="000A6096"/>
    <w:rsid w:val="00102F28"/>
    <w:rsid w:val="00134C57"/>
    <w:rsid w:val="00142967"/>
    <w:rsid w:val="00162B27"/>
    <w:rsid w:val="0017691F"/>
    <w:rsid w:val="001B4DD7"/>
    <w:rsid w:val="001C0F4E"/>
    <w:rsid w:val="001C1114"/>
    <w:rsid w:val="001C32DC"/>
    <w:rsid w:val="002125D9"/>
    <w:rsid w:val="00214346"/>
    <w:rsid w:val="00245AE3"/>
    <w:rsid w:val="00246A97"/>
    <w:rsid w:val="00246BA7"/>
    <w:rsid w:val="002B1E4D"/>
    <w:rsid w:val="002B26FC"/>
    <w:rsid w:val="00307794"/>
    <w:rsid w:val="00307F5F"/>
    <w:rsid w:val="00342F98"/>
    <w:rsid w:val="00395DC6"/>
    <w:rsid w:val="003B44AA"/>
    <w:rsid w:val="003D127A"/>
    <w:rsid w:val="003D7D8D"/>
    <w:rsid w:val="00427DA2"/>
    <w:rsid w:val="004643B6"/>
    <w:rsid w:val="004818D8"/>
    <w:rsid w:val="00492BD6"/>
    <w:rsid w:val="004F0DA5"/>
    <w:rsid w:val="004F59DD"/>
    <w:rsid w:val="004F79FD"/>
    <w:rsid w:val="005228AC"/>
    <w:rsid w:val="00547B73"/>
    <w:rsid w:val="005562ED"/>
    <w:rsid w:val="005658EF"/>
    <w:rsid w:val="00580425"/>
    <w:rsid w:val="005909CE"/>
    <w:rsid w:val="005B322D"/>
    <w:rsid w:val="005E5AAC"/>
    <w:rsid w:val="00640601"/>
    <w:rsid w:val="00671099"/>
    <w:rsid w:val="00675D93"/>
    <w:rsid w:val="00685455"/>
    <w:rsid w:val="006B2196"/>
    <w:rsid w:val="006C3B48"/>
    <w:rsid w:val="006C782B"/>
    <w:rsid w:val="006D629F"/>
    <w:rsid w:val="00703B87"/>
    <w:rsid w:val="00727C70"/>
    <w:rsid w:val="00730283"/>
    <w:rsid w:val="00731E7C"/>
    <w:rsid w:val="00747413"/>
    <w:rsid w:val="0076059E"/>
    <w:rsid w:val="00767E66"/>
    <w:rsid w:val="007E006D"/>
    <w:rsid w:val="007F15CC"/>
    <w:rsid w:val="007F7A9B"/>
    <w:rsid w:val="00813CC7"/>
    <w:rsid w:val="00815215"/>
    <w:rsid w:val="00895E77"/>
    <w:rsid w:val="008B41BA"/>
    <w:rsid w:val="0095257F"/>
    <w:rsid w:val="00971091"/>
    <w:rsid w:val="00A33984"/>
    <w:rsid w:val="00A40230"/>
    <w:rsid w:val="00A70208"/>
    <w:rsid w:val="00AA6284"/>
    <w:rsid w:val="00AB0B09"/>
    <w:rsid w:val="00AC1B48"/>
    <w:rsid w:val="00AC2F17"/>
    <w:rsid w:val="00AD1E2B"/>
    <w:rsid w:val="00AE5020"/>
    <w:rsid w:val="00AF3057"/>
    <w:rsid w:val="00B45243"/>
    <w:rsid w:val="00B50543"/>
    <w:rsid w:val="00B8127F"/>
    <w:rsid w:val="00B851D9"/>
    <w:rsid w:val="00BA0A27"/>
    <w:rsid w:val="00BD4DB3"/>
    <w:rsid w:val="00BF160F"/>
    <w:rsid w:val="00BF279D"/>
    <w:rsid w:val="00C21201"/>
    <w:rsid w:val="00C46950"/>
    <w:rsid w:val="00C76FC0"/>
    <w:rsid w:val="00C921E7"/>
    <w:rsid w:val="00CB71E9"/>
    <w:rsid w:val="00D17FB9"/>
    <w:rsid w:val="00D306AD"/>
    <w:rsid w:val="00D32D32"/>
    <w:rsid w:val="00DD07EC"/>
    <w:rsid w:val="00DE5DF2"/>
    <w:rsid w:val="00E138FD"/>
    <w:rsid w:val="00E16CEE"/>
    <w:rsid w:val="00E22785"/>
    <w:rsid w:val="00E321FB"/>
    <w:rsid w:val="00E54CC5"/>
    <w:rsid w:val="00E55849"/>
    <w:rsid w:val="00E66C22"/>
    <w:rsid w:val="00E7609B"/>
    <w:rsid w:val="00E8458F"/>
    <w:rsid w:val="00EA5038"/>
    <w:rsid w:val="00EC68B7"/>
    <w:rsid w:val="00EE017B"/>
    <w:rsid w:val="00F412DB"/>
    <w:rsid w:val="00F61430"/>
    <w:rsid w:val="00FA5EE7"/>
    <w:rsid w:val="00FB71FB"/>
    <w:rsid w:val="00FC3235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7FFE5C"/>
  <w15:docId w15:val="{CCCCBD62-3BB8-47A9-81F8-1491B51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gotajuridica.gov.co/sisjur/normas/Norma1.jsp?i=6091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lcaldiabogota.gov.co/sisjur/normas/Norma1.jsp?i=163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caldiabogota.gov.co/sisjur/normas/Norma1.jsp?i=124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9FFA7265D4704DB1918B3E1D1DD2B0" ma:contentTypeVersion="11" ma:contentTypeDescription="Crear nuevo documento." ma:contentTypeScope="" ma:versionID="6c97939bb12ed08198d3b9100e20a44b">
  <xsd:schema xmlns:xsd="http://www.w3.org/2001/XMLSchema" xmlns:xs="http://www.w3.org/2001/XMLSchema" xmlns:p="http://schemas.microsoft.com/office/2006/metadata/properties" xmlns:ns3="14a02bfc-6426-4716-a229-886ad749dd8a" xmlns:ns4="fe564ee7-733a-4076-a546-1c8355d75714" targetNamespace="http://schemas.microsoft.com/office/2006/metadata/properties" ma:root="true" ma:fieldsID="76d6cdbd89e1a958c84f558c83218358" ns3:_="" ns4:_="">
    <xsd:import namespace="14a02bfc-6426-4716-a229-886ad749dd8a"/>
    <xsd:import namespace="fe564ee7-733a-4076-a546-1c8355d75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02bfc-6426-4716-a229-886ad749d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4ee7-733a-4076-a546-1c8355d7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BF6F-C486-4955-9AB7-E9A75A8C0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B3ED7-1890-4D31-875D-863FE210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7261-470A-4C13-AB73-508AB429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02bfc-6426-4716-a229-886ad749dd8a"/>
    <ds:schemaRef ds:uri="fe564ee7-733a-4076-a546-1c8355d75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7B966-4472-4BA0-96AD-80EADC6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memorandos SDH - Julio 2012</vt:lpstr>
    </vt:vector>
  </TitlesOfParts>
  <Company>LG  Electronics Inc.</Company>
  <LinksUpToDate>false</LinksUpToDate>
  <CharactersWithSpaces>3590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memorandos SDH - Julio 2012</dc:title>
  <dc:subject>Plantillas manual de estilo 2012 Bogotá Humana</dc:subject>
  <dc:creator>Juan Guillermo Acosta Rada;Juan Carlos Lara Bonilla</dc:creator>
  <cp:keywords>Plantillas</cp:keywords>
  <cp:lastModifiedBy>Liliana del Socorro Pérez Alarcon</cp:lastModifiedBy>
  <cp:revision>2</cp:revision>
  <cp:lastPrinted>2009-09-01T20:25:00Z</cp:lastPrinted>
  <dcterms:created xsi:type="dcterms:W3CDTF">2019-10-17T13:37:00Z</dcterms:created>
  <dcterms:modified xsi:type="dcterms:W3CDTF">2019-10-17T13:37:00Z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0x010100F89FFA7265D4704DB1918B3E1D1DD2B0</vt:lpwstr>
  </property>
</Properties>
</file>