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5DADB" w14:textId="77777777" w:rsidR="00612389" w:rsidRDefault="00612389" w:rsidP="00612389">
      <w:pPr>
        <w:rPr>
          <w:rFonts w:ascii="Arial" w:hAnsi="Arial" w:cs="Arial"/>
          <w:sz w:val="22"/>
          <w:szCs w:val="22"/>
        </w:rPr>
      </w:pPr>
      <w:r w:rsidRPr="00201AAD">
        <w:rPr>
          <w:rFonts w:ascii="Arial" w:hAnsi="Arial" w:cs="Arial"/>
          <w:sz w:val="22"/>
          <w:szCs w:val="22"/>
        </w:rPr>
        <w:t xml:space="preserve">Bogotá, D. C. </w:t>
      </w:r>
    </w:p>
    <w:p w14:paraId="07AA0FAE" w14:textId="77777777" w:rsidR="00612389" w:rsidRDefault="00612389" w:rsidP="00612389">
      <w:pPr>
        <w:rPr>
          <w:rFonts w:ascii="Arial" w:hAnsi="Arial" w:cs="Arial"/>
          <w:sz w:val="22"/>
          <w:szCs w:val="22"/>
        </w:rPr>
      </w:pPr>
    </w:p>
    <w:p w14:paraId="22282D1A" w14:textId="77777777" w:rsidR="00612389" w:rsidRDefault="00612389" w:rsidP="00612389">
      <w:pPr>
        <w:rPr>
          <w:rFonts w:ascii="Arial" w:hAnsi="Arial" w:cs="Arial"/>
          <w:sz w:val="22"/>
          <w:szCs w:val="22"/>
        </w:rPr>
      </w:pPr>
      <w:r w:rsidRPr="00201AAD">
        <w:rPr>
          <w:rFonts w:ascii="Arial" w:hAnsi="Arial" w:cs="Arial"/>
          <w:sz w:val="22"/>
          <w:szCs w:val="22"/>
        </w:rPr>
        <w:t xml:space="preserve">Doctora </w:t>
      </w:r>
    </w:p>
    <w:p w14:paraId="7A56FC55" w14:textId="77777777" w:rsidR="00612389" w:rsidRPr="00201AAD" w:rsidRDefault="00612389" w:rsidP="00612389">
      <w:pPr>
        <w:rPr>
          <w:rFonts w:ascii="Arial" w:hAnsi="Arial" w:cs="Arial"/>
          <w:b/>
          <w:sz w:val="22"/>
          <w:szCs w:val="22"/>
        </w:rPr>
      </w:pPr>
      <w:r w:rsidRPr="00201AAD">
        <w:rPr>
          <w:rFonts w:ascii="Arial" w:hAnsi="Arial" w:cs="Arial"/>
          <w:b/>
          <w:sz w:val="22"/>
          <w:szCs w:val="22"/>
        </w:rPr>
        <w:t xml:space="preserve">SANDRA DEL PILAR NARVÁEZ CASTILLO </w:t>
      </w:r>
    </w:p>
    <w:p w14:paraId="761B4A6D" w14:textId="77777777" w:rsidR="00612389" w:rsidRDefault="00612389" w:rsidP="00612389">
      <w:pPr>
        <w:rPr>
          <w:rFonts w:ascii="Arial" w:hAnsi="Arial" w:cs="Arial"/>
          <w:sz w:val="22"/>
          <w:szCs w:val="22"/>
        </w:rPr>
      </w:pPr>
      <w:r w:rsidRPr="00201AAD">
        <w:rPr>
          <w:rFonts w:ascii="Arial" w:hAnsi="Arial" w:cs="Arial"/>
          <w:sz w:val="22"/>
          <w:szCs w:val="22"/>
        </w:rPr>
        <w:t xml:space="preserve">Tesorera Distrital </w:t>
      </w:r>
    </w:p>
    <w:p w14:paraId="10033A0D" w14:textId="77777777" w:rsidR="00612389" w:rsidRDefault="00612389" w:rsidP="00612389">
      <w:pPr>
        <w:rPr>
          <w:rFonts w:ascii="Arial" w:hAnsi="Arial" w:cs="Arial"/>
          <w:sz w:val="22"/>
          <w:szCs w:val="22"/>
        </w:rPr>
      </w:pPr>
      <w:r w:rsidRPr="00201AAD">
        <w:rPr>
          <w:rFonts w:ascii="Arial" w:hAnsi="Arial" w:cs="Arial"/>
          <w:sz w:val="22"/>
          <w:szCs w:val="22"/>
        </w:rPr>
        <w:t xml:space="preserve">Secretaría Distrital de Hacienda </w:t>
      </w:r>
    </w:p>
    <w:p w14:paraId="66D6C156" w14:textId="77777777" w:rsidR="00612389" w:rsidRDefault="00612389" w:rsidP="00612389">
      <w:pPr>
        <w:rPr>
          <w:rFonts w:ascii="Arial" w:hAnsi="Arial" w:cs="Arial"/>
          <w:sz w:val="22"/>
          <w:szCs w:val="22"/>
        </w:rPr>
      </w:pPr>
      <w:r w:rsidRPr="00201AAD">
        <w:rPr>
          <w:rFonts w:ascii="Arial" w:hAnsi="Arial" w:cs="Arial"/>
          <w:sz w:val="22"/>
          <w:szCs w:val="22"/>
        </w:rPr>
        <w:t xml:space="preserve">Kr 30 25 90 </w:t>
      </w:r>
    </w:p>
    <w:p w14:paraId="57C3FE6C" w14:textId="77777777" w:rsidR="00612389" w:rsidRDefault="00612389" w:rsidP="00612389">
      <w:pPr>
        <w:rPr>
          <w:rFonts w:ascii="Arial" w:hAnsi="Arial" w:cs="Arial"/>
          <w:sz w:val="22"/>
          <w:szCs w:val="22"/>
        </w:rPr>
      </w:pPr>
      <w:r w:rsidRPr="00201AAD">
        <w:rPr>
          <w:rFonts w:ascii="Arial" w:hAnsi="Arial" w:cs="Arial"/>
          <w:sz w:val="22"/>
          <w:szCs w:val="22"/>
        </w:rPr>
        <w:t xml:space="preserve">NIT. 899999061 </w:t>
      </w:r>
    </w:p>
    <w:p w14:paraId="15044A95" w14:textId="77777777" w:rsidR="00612389" w:rsidRDefault="00612389" w:rsidP="00612389">
      <w:pPr>
        <w:rPr>
          <w:rFonts w:ascii="Arial" w:hAnsi="Arial" w:cs="Arial"/>
          <w:sz w:val="22"/>
          <w:szCs w:val="22"/>
        </w:rPr>
      </w:pPr>
      <w:r w:rsidRPr="00201AAD">
        <w:rPr>
          <w:rFonts w:ascii="Arial" w:hAnsi="Arial" w:cs="Arial"/>
          <w:sz w:val="22"/>
          <w:szCs w:val="22"/>
        </w:rPr>
        <w:t xml:space="preserve">Ciudad </w:t>
      </w:r>
    </w:p>
    <w:p w14:paraId="60ADE555" w14:textId="77777777" w:rsidR="00612389" w:rsidRPr="008E56CB" w:rsidRDefault="00612389" w:rsidP="00612389">
      <w:pPr>
        <w:rPr>
          <w:rFonts w:ascii="Arial" w:hAnsi="Arial" w:cs="Arial"/>
        </w:rPr>
      </w:pPr>
    </w:p>
    <w:p w14:paraId="0A43D85B" w14:textId="77777777" w:rsidR="00612389" w:rsidRPr="008E56CB" w:rsidRDefault="00612389" w:rsidP="00612389">
      <w:pPr>
        <w:tabs>
          <w:tab w:val="center" w:pos="4394"/>
          <w:tab w:val="right" w:pos="8789"/>
        </w:tabs>
        <w:rPr>
          <w:rFonts w:ascii="Arial" w:hAnsi="Arial" w:cs="Arial"/>
          <w:b/>
        </w:rPr>
      </w:pPr>
      <w:r w:rsidRPr="008E56CB">
        <w:rPr>
          <w:rFonts w:ascii="Arial" w:hAnsi="Arial" w:cs="Arial"/>
          <w:b/>
        </w:rPr>
        <w:tab/>
        <w:t xml:space="preserve">CONCEPTO </w:t>
      </w:r>
      <w:r w:rsidRPr="008E56CB">
        <w:rPr>
          <w:rFonts w:ascii="Arial" w:hAnsi="Arial" w:cs="Arial"/>
          <w:b/>
        </w:rPr>
        <w:tab/>
      </w:r>
    </w:p>
    <w:p w14:paraId="67CFD2CE" w14:textId="77777777" w:rsidR="00612389" w:rsidRPr="008E56CB" w:rsidRDefault="00612389" w:rsidP="00612389">
      <w:pPr>
        <w:jc w:val="center"/>
        <w:rPr>
          <w:rFonts w:ascii="Arial" w:hAnsi="Arial" w:cs="Arial"/>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7"/>
        <w:gridCol w:w="6773"/>
      </w:tblGrid>
      <w:tr w:rsidR="00612389" w:rsidRPr="00103ED9" w14:paraId="198027D6" w14:textId="77777777" w:rsidTr="00D46BB5">
        <w:tc>
          <w:tcPr>
            <w:tcW w:w="1972" w:type="dxa"/>
            <w:shd w:val="clear" w:color="auto" w:fill="auto"/>
            <w:vAlign w:val="center"/>
          </w:tcPr>
          <w:p w14:paraId="2AD70812" w14:textId="77777777" w:rsidR="00612389" w:rsidRPr="00103ED9" w:rsidRDefault="00612389" w:rsidP="00D46BB5">
            <w:pPr>
              <w:rPr>
                <w:rFonts w:ascii="Arial" w:hAnsi="Arial" w:cs="Arial"/>
              </w:rPr>
            </w:pPr>
            <w:r w:rsidRPr="00103ED9">
              <w:rPr>
                <w:rFonts w:ascii="Arial" w:hAnsi="Arial" w:cs="Arial"/>
              </w:rPr>
              <w:t>Referencia</w:t>
            </w:r>
          </w:p>
        </w:tc>
        <w:tc>
          <w:tcPr>
            <w:tcW w:w="6982" w:type="dxa"/>
            <w:shd w:val="clear" w:color="auto" w:fill="auto"/>
            <w:vAlign w:val="center"/>
          </w:tcPr>
          <w:p w14:paraId="165D6F36" w14:textId="77777777" w:rsidR="00612389" w:rsidRPr="00103ED9" w:rsidRDefault="00612389" w:rsidP="00D46BB5">
            <w:pPr>
              <w:rPr>
                <w:rFonts w:ascii="Arial" w:hAnsi="Arial" w:cs="Arial"/>
              </w:rPr>
            </w:pPr>
            <w:r w:rsidRPr="00103ED9">
              <w:rPr>
                <w:rFonts w:ascii="Arial" w:hAnsi="Arial" w:cs="Arial"/>
              </w:rPr>
              <w:t>2021I</w:t>
            </w:r>
            <w:r>
              <w:rPr>
                <w:rFonts w:ascii="Arial" w:hAnsi="Arial" w:cs="Arial"/>
              </w:rPr>
              <w:t>E026081</w:t>
            </w:r>
            <w:r w:rsidRPr="00103ED9">
              <w:rPr>
                <w:rFonts w:ascii="Arial" w:hAnsi="Arial" w:cs="Arial"/>
              </w:rPr>
              <w:t>O1</w:t>
            </w:r>
          </w:p>
        </w:tc>
      </w:tr>
      <w:tr w:rsidR="00612389" w:rsidRPr="00103ED9" w14:paraId="07B94C6F" w14:textId="77777777" w:rsidTr="00D46BB5">
        <w:tc>
          <w:tcPr>
            <w:tcW w:w="1972" w:type="dxa"/>
            <w:shd w:val="clear" w:color="auto" w:fill="auto"/>
            <w:vAlign w:val="center"/>
          </w:tcPr>
          <w:p w14:paraId="6484FF94" w14:textId="77777777" w:rsidR="00612389" w:rsidRPr="00103ED9" w:rsidRDefault="00612389" w:rsidP="00D46BB5">
            <w:pPr>
              <w:rPr>
                <w:rFonts w:ascii="Arial" w:hAnsi="Arial" w:cs="Arial"/>
              </w:rPr>
            </w:pPr>
            <w:r w:rsidRPr="00103ED9">
              <w:rPr>
                <w:rFonts w:ascii="Arial" w:hAnsi="Arial" w:cs="Arial"/>
              </w:rPr>
              <w:t xml:space="preserve">Descriptor general </w:t>
            </w:r>
          </w:p>
        </w:tc>
        <w:tc>
          <w:tcPr>
            <w:tcW w:w="6982" w:type="dxa"/>
            <w:shd w:val="clear" w:color="auto" w:fill="auto"/>
            <w:vAlign w:val="center"/>
          </w:tcPr>
          <w:p w14:paraId="5D4DAB81" w14:textId="77777777" w:rsidR="00612389" w:rsidRPr="00103ED9" w:rsidRDefault="00612389" w:rsidP="00D46BB5">
            <w:pPr>
              <w:jc w:val="both"/>
              <w:rPr>
                <w:rFonts w:ascii="Arial" w:hAnsi="Arial" w:cs="Arial"/>
              </w:rPr>
            </w:pPr>
            <w:r w:rsidRPr="00103ED9">
              <w:rPr>
                <w:rFonts w:ascii="Arial" w:hAnsi="Arial" w:cs="Arial"/>
              </w:rPr>
              <w:t>Tesorería</w:t>
            </w:r>
          </w:p>
        </w:tc>
      </w:tr>
      <w:tr w:rsidR="00612389" w:rsidRPr="00103ED9" w14:paraId="04CB0CAC" w14:textId="77777777" w:rsidTr="00D46BB5">
        <w:tc>
          <w:tcPr>
            <w:tcW w:w="1972" w:type="dxa"/>
            <w:shd w:val="clear" w:color="auto" w:fill="auto"/>
            <w:vAlign w:val="center"/>
          </w:tcPr>
          <w:p w14:paraId="6AB5E642" w14:textId="77777777" w:rsidR="00612389" w:rsidRPr="00103ED9" w:rsidRDefault="00612389" w:rsidP="00D46BB5">
            <w:pPr>
              <w:rPr>
                <w:rFonts w:ascii="Arial" w:hAnsi="Arial" w:cs="Arial"/>
              </w:rPr>
            </w:pPr>
            <w:r w:rsidRPr="00103ED9">
              <w:rPr>
                <w:rFonts w:ascii="Arial" w:hAnsi="Arial" w:cs="Arial"/>
              </w:rPr>
              <w:t>Descriptores especiales</w:t>
            </w:r>
          </w:p>
        </w:tc>
        <w:tc>
          <w:tcPr>
            <w:tcW w:w="6982" w:type="dxa"/>
            <w:shd w:val="clear" w:color="auto" w:fill="auto"/>
            <w:vAlign w:val="center"/>
          </w:tcPr>
          <w:p w14:paraId="5F4F6B0F" w14:textId="77777777" w:rsidR="00612389" w:rsidRPr="00103ED9" w:rsidRDefault="00612389" w:rsidP="00D46BB5">
            <w:pPr>
              <w:jc w:val="both"/>
              <w:rPr>
                <w:rFonts w:ascii="Arial" w:hAnsi="Arial" w:cs="Arial"/>
              </w:rPr>
            </w:pPr>
            <w:r>
              <w:rPr>
                <w:rFonts w:ascii="Arial" w:hAnsi="Arial" w:cs="Arial"/>
              </w:rPr>
              <w:t xml:space="preserve">Convenio para la </w:t>
            </w:r>
            <w:r w:rsidRPr="00E830B4">
              <w:rPr>
                <w:rFonts w:ascii="Arial" w:hAnsi="Arial" w:cs="Arial"/>
              </w:rPr>
              <w:t>dispersión de transferencias monetarias de la estrategia integral Ingreso Mínimo Garantizado (IMG)</w:t>
            </w:r>
          </w:p>
        </w:tc>
      </w:tr>
      <w:tr w:rsidR="00612389" w:rsidRPr="00103ED9" w14:paraId="1E311C46" w14:textId="77777777" w:rsidTr="00D46BB5">
        <w:tc>
          <w:tcPr>
            <w:tcW w:w="1972" w:type="dxa"/>
            <w:shd w:val="clear" w:color="auto" w:fill="auto"/>
            <w:vAlign w:val="center"/>
          </w:tcPr>
          <w:p w14:paraId="7CB1DD60" w14:textId="77777777" w:rsidR="00612389" w:rsidRPr="00103ED9" w:rsidRDefault="00612389" w:rsidP="00D46BB5">
            <w:pPr>
              <w:rPr>
                <w:rFonts w:ascii="Arial" w:hAnsi="Arial" w:cs="Arial"/>
              </w:rPr>
            </w:pPr>
            <w:r w:rsidRPr="00103ED9">
              <w:rPr>
                <w:rFonts w:ascii="Arial" w:hAnsi="Arial" w:cs="Arial"/>
              </w:rPr>
              <w:t>Problema jurídico</w:t>
            </w:r>
          </w:p>
        </w:tc>
        <w:tc>
          <w:tcPr>
            <w:tcW w:w="6982" w:type="dxa"/>
            <w:shd w:val="clear" w:color="auto" w:fill="auto"/>
            <w:vAlign w:val="center"/>
          </w:tcPr>
          <w:p w14:paraId="4E86A33C" w14:textId="77777777" w:rsidR="00612389" w:rsidRPr="00E830B4" w:rsidRDefault="00612389" w:rsidP="00D46BB5">
            <w:pPr>
              <w:jc w:val="both"/>
              <w:rPr>
                <w:rFonts w:ascii="Arial" w:eastAsiaTheme="minorEastAsia" w:hAnsi="Arial" w:cs="Arial"/>
                <w:bCs/>
                <w:i/>
                <w:color w:val="000000" w:themeColor="text1"/>
                <w:lang w:eastAsia="en-US"/>
              </w:rPr>
            </w:pPr>
            <w:r w:rsidRPr="00E830B4">
              <w:rPr>
                <w:rFonts w:ascii="Arial" w:hAnsi="Arial" w:cs="Arial"/>
                <w:bCs/>
                <w:i/>
                <w:color w:val="000000" w:themeColor="text1"/>
              </w:rPr>
              <w:t>¿Cómo mantener el servicio de una entidad financiera previamente seleccionada para la Cuenta Única Distrital?</w:t>
            </w:r>
          </w:p>
        </w:tc>
      </w:tr>
    </w:tbl>
    <w:p w14:paraId="5D167D59" w14:textId="77777777" w:rsidR="00612389" w:rsidRDefault="00612389" w:rsidP="00612389">
      <w:pPr>
        <w:rPr>
          <w:rFonts w:ascii="Arial" w:hAnsi="Arial" w:cs="Arial"/>
        </w:rPr>
      </w:pPr>
    </w:p>
    <w:p w14:paraId="42D3A9F5" w14:textId="77777777" w:rsidR="00612389" w:rsidRPr="008E56CB" w:rsidRDefault="00612389" w:rsidP="00612389">
      <w:pPr>
        <w:rPr>
          <w:rFonts w:ascii="Arial" w:hAnsi="Arial" w:cs="Arial"/>
        </w:rPr>
      </w:pPr>
    </w:p>
    <w:p w14:paraId="4D2BE1B0" w14:textId="77777777" w:rsidR="00612389" w:rsidRPr="00C620DF" w:rsidRDefault="00612389" w:rsidP="00612389">
      <w:pPr>
        <w:jc w:val="both"/>
        <w:rPr>
          <w:rFonts w:ascii="Arial" w:hAnsi="Arial" w:cs="Arial"/>
          <w:b/>
          <w:bCs/>
          <w:sz w:val="22"/>
          <w:szCs w:val="22"/>
        </w:rPr>
      </w:pPr>
      <w:r w:rsidRPr="00C620DF">
        <w:rPr>
          <w:rFonts w:ascii="Arial" w:hAnsi="Arial" w:cs="Arial"/>
          <w:b/>
          <w:bCs/>
          <w:sz w:val="22"/>
          <w:szCs w:val="22"/>
        </w:rPr>
        <w:t>IDENTIFICACIÓN DE LA CONSULTA</w:t>
      </w:r>
    </w:p>
    <w:p w14:paraId="277DF3EE" w14:textId="77777777" w:rsidR="00612389" w:rsidRPr="00C620DF" w:rsidRDefault="00612389" w:rsidP="00612389">
      <w:pPr>
        <w:jc w:val="both"/>
        <w:rPr>
          <w:rFonts w:ascii="Arial" w:hAnsi="Arial" w:cs="Arial"/>
          <w:bCs/>
          <w:sz w:val="22"/>
          <w:szCs w:val="22"/>
        </w:rPr>
      </w:pPr>
    </w:p>
    <w:p w14:paraId="2603C6E2" w14:textId="77777777" w:rsidR="00612389" w:rsidRPr="00E830B4" w:rsidRDefault="00612389" w:rsidP="00612389">
      <w:pPr>
        <w:jc w:val="both"/>
        <w:rPr>
          <w:rFonts w:ascii="Arial" w:hAnsi="Arial" w:cs="Arial"/>
          <w:bCs/>
          <w:sz w:val="22"/>
          <w:szCs w:val="22"/>
        </w:rPr>
      </w:pPr>
      <w:r>
        <w:rPr>
          <w:rFonts w:ascii="Arial" w:hAnsi="Arial" w:cs="Arial"/>
          <w:bCs/>
          <w:sz w:val="22"/>
          <w:szCs w:val="22"/>
        </w:rPr>
        <w:t>La Tesorera Distrital</w:t>
      </w:r>
      <w:r w:rsidRPr="00C620DF">
        <w:rPr>
          <w:rFonts w:ascii="Arial" w:hAnsi="Arial" w:cs="Arial"/>
          <w:bCs/>
          <w:sz w:val="22"/>
          <w:szCs w:val="22"/>
        </w:rPr>
        <w:t xml:space="preserve"> </w:t>
      </w:r>
      <w:r>
        <w:rPr>
          <w:rFonts w:ascii="Arial" w:hAnsi="Arial" w:cs="Arial"/>
          <w:bCs/>
          <w:sz w:val="22"/>
          <w:szCs w:val="22"/>
        </w:rPr>
        <w:t xml:space="preserve">solicita concepto sobre cómo mantener el servicio de </w:t>
      </w:r>
      <w:r w:rsidRPr="00E830B4">
        <w:rPr>
          <w:rFonts w:ascii="Arial" w:hAnsi="Arial" w:cs="Arial"/>
          <w:bCs/>
          <w:sz w:val="22"/>
          <w:szCs w:val="22"/>
        </w:rPr>
        <w:t>uno de los operadores que</w:t>
      </w:r>
      <w:r>
        <w:rPr>
          <w:rFonts w:ascii="Arial" w:hAnsi="Arial" w:cs="Arial"/>
          <w:bCs/>
          <w:sz w:val="22"/>
          <w:szCs w:val="22"/>
        </w:rPr>
        <w:t xml:space="preserve"> </w:t>
      </w:r>
      <w:r w:rsidRPr="00E830B4">
        <w:rPr>
          <w:rFonts w:ascii="Arial" w:hAnsi="Arial" w:cs="Arial"/>
          <w:bCs/>
          <w:sz w:val="22"/>
          <w:szCs w:val="22"/>
        </w:rPr>
        <w:t>apoyan al Distrito</w:t>
      </w:r>
      <w:r>
        <w:rPr>
          <w:rFonts w:ascii="Arial" w:hAnsi="Arial" w:cs="Arial"/>
          <w:bCs/>
          <w:sz w:val="22"/>
          <w:szCs w:val="22"/>
        </w:rPr>
        <w:t xml:space="preserve"> Capital</w:t>
      </w:r>
      <w:r w:rsidRPr="00E830B4">
        <w:rPr>
          <w:rFonts w:ascii="Arial" w:hAnsi="Arial" w:cs="Arial"/>
          <w:bCs/>
          <w:sz w:val="22"/>
          <w:szCs w:val="22"/>
        </w:rPr>
        <w:t xml:space="preserve"> en la dispersión de trasferencias monetarias a favor </w:t>
      </w:r>
      <w:r>
        <w:rPr>
          <w:rFonts w:ascii="Arial" w:hAnsi="Arial" w:cs="Arial"/>
          <w:bCs/>
          <w:sz w:val="22"/>
          <w:szCs w:val="22"/>
        </w:rPr>
        <w:t xml:space="preserve">de la población beneficiaria </w:t>
      </w:r>
      <w:r w:rsidRPr="00E830B4">
        <w:rPr>
          <w:rFonts w:ascii="Arial" w:hAnsi="Arial" w:cs="Arial"/>
          <w:bCs/>
          <w:sz w:val="22"/>
          <w:szCs w:val="22"/>
        </w:rPr>
        <w:t>de la estrategia</w:t>
      </w:r>
      <w:r>
        <w:rPr>
          <w:rFonts w:ascii="Arial" w:hAnsi="Arial" w:cs="Arial"/>
          <w:bCs/>
          <w:sz w:val="22"/>
          <w:szCs w:val="22"/>
        </w:rPr>
        <w:t xml:space="preserve"> </w:t>
      </w:r>
      <w:r w:rsidRPr="00E830B4">
        <w:rPr>
          <w:rFonts w:ascii="Arial" w:hAnsi="Arial" w:cs="Arial"/>
          <w:bCs/>
          <w:sz w:val="22"/>
          <w:szCs w:val="22"/>
        </w:rPr>
        <w:t>integral Ingreso Mínimo Garantizado (IMG).</w:t>
      </w:r>
    </w:p>
    <w:p w14:paraId="79F18246" w14:textId="77777777" w:rsidR="00612389" w:rsidRPr="00C620DF" w:rsidRDefault="00612389" w:rsidP="00612389">
      <w:pPr>
        <w:ind w:left="709"/>
        <w:jc w:val="both"/>
        <w:rPr>
          <w:rFonts w:ascii="Arial" w:hAnsi="Arial" w:cs="Arial"/>
          <w:i/>
          <w:sz w:val="22"/>
          <w:szCs w:val="22"/>
        </w:rPr>
      </w:pPr>
    </w:p>
    <w:p w14:paraId="411F9DC8" w14:textId="77777777" w:rsidR="00612389" w:rsidRPr="00C620DF" w:rsidRDefault="00612389" w:rsidP="00612389">
      <w:pPr>
        <w:jc w:val="both"/>
        <w:rPr>
          <w:rFonts w:ascii="Arial" w:hAnsi="Arial" w:cs="Arial"/>
          <w:bCs/>
          <w:sz w:val="22"/>
          <w:szCs w:val="22"/>
        </w:rPr>
      </w:pPr>
      <w:r w:rsidRPr="00C620DF">
        <w:rPr>
          <w:rFonts w:ascii="Arial" w:hAnsi="Arial" w:cs="Arial"/>
          <w:bCs/>
          <w:sz w:val="22"/>
          <w:szCs w:val="22"/>
        </w:rPr>
        <w:t xml:space="preserve">En este contexto, se formulan los siguientes interrogantes: </w:t>
      </w:r>
    </w:p>
    <w:p w14:paraId="74F4E04A" w14:textId="77777777" w:rsidR="00612389" w:rsidRPr="00C61008" w:rsidRDefault="00612389" w:rsidP="00612389">
      <w:pPr>
        <w:jc w:val="both"/>
        <w:rPr>
          <w:rFonts w:ascii="Arial" w:hAnsi="Arial" w:cs="Arial"/>
          <w:bCs/>
          <w:i/>
          <w:sz w:val="22"/>
          <w:szCs w:val="22"/>
        </w:rPr>
      </w:pPr>
    </w:p>
    <w:p w14:paraId="714D6087" w14:textId="77777777" w:rsidR="00612389" w:rsidRDefault="00612389" w:rsidP="00612389">
      <w:pPr>
        <w:ind w:left="708"/>
        <w:jc w:val="both"/>
        <w:rPr>
          <w:rFonts w:ascii="Arial" w:hAnsi="Arial" w:cs="Arial"/>
          <w:bCs/>
          <w:i/>
          <w:sz w:val="22"/>
          <w:szCs w:val="22"/>
        </w:rPr>
      </w:pPr>
      <w:r>
        <w:rPr>
          <w:rFonts w:ascii="Arial" w:hAnsi="Arial" w:cs="Arial"/>
          <w:bCs/>
          <w:i/>
          <w:sz w:val="22"/>
          <w:szCs w:val="22"/>
        </w:rPr>
        <w:t>“</w:t>
      </w:r>
      <w:r w:rsidRPr="00E830B4">
        <w:rPr>
          <w:rFonts w:ascii="Arial" w:hAnsi="Arial" w:cs="Arial"/>
          <w:bCs/>
          <w:i/>
          <w:sz w:val="22"/>
          <w:szCs w:val="22"/>
        </w:rPr>
        <w:t>¿Qué mecanismo podría usar la Dirección Distrital de Tesorería de la Secretaría</w:t>
      </w:r>
      <w:r>
        <w:rPr>
          <w:rFonts w:ascii="Arial" w:hAnsi="Arial" w:cs="Arial"/>
          <w:bCs/>
          <w:i/>
          <w:sz w:val="22"/>
          <w:szCs w:val="22"/>
        </w:rPr>
        <w:t xml:space="preserve"> </w:t>
      </w:r>
      <w:r w:rsidRPr="00E830B4">
        <w:rPr>
          <w:rFonts w:ascii="Arial" w:hAnsi="Arial" w:cs="Arial"/>
          <w:bCs/>
          <w:i/>
          <w:sz w:val="22"/>
          <w:szCs w:val="22"/>
        </w:rPr>
        <w:t xml:space="preserve">Distrital de Hacienda para poder continuar con la participación de </w:t>
      </w:r>
      <w:proofErr w:type="spellStart"/>
      <w:r w:rsidRPr="00E830B4">
        <w:rPr>
          <w:rFonts w:ascii="Arial" w:hAnsi="Arial" w:cs="Arial"/>
          <w:bCs/>
          <w:i/>
          <w:sz w:val="22"/>
          <w:szCs w:val="22"/>
        </w:rPr>
        <w:t>Movii</w:t>
      </w:r>
      <w:proofErr w:type="spellEnd"/>
      <w:r w:rsidRPr="00E830B4">
        <w:rPr>
          <w:rFonts w:ascii="Arial" w:hAnsi="Arial" w:cs="Arial"/>
          <w:bCs/>
          <w:i/>
          <w:sz w:val="22"/>
          <w:szCs w:val="22"/>
        </w:rPr>
        <w:t xml:space="preserve"> en la</w:t>
      </w:r>
      <w:r>
        <w:rPr>
          <w:rFonts w:ascii="Arial" w:hAnsi="Arial" w:cs="Arial"/>
          <w:bCs/>
          <w:i/>
          <w:sz w:val="22"/>
          <w:szCs w:val="22"/>
        </w:rPr>
        <w:t xml:space="preserve"> </w:t>
      </w:r>
      <w:r w:rsidRPr="00E830B4">
        <w:rPr>
          <w:rFonts w:ascii="Arial" w:hAnsi="Arial" w:cs="Arial"/>
          <w:bCs/>
          <w:i/>
          <w:sz w:val="22"/>
          <w:szCs w:val="22"/>
        </w:rPr>
        <w:t>prestación del servicio de dispersión y giro de transferencias monetarias a favor</w:t>
      </w:r>
      <w:r>
        <w:rPr>
          <w:rFonts w:ascii="Arial" w:hAnsi="Arial" w:cs="Arial"/>
          <w:bCs/>
          <w:i/>
          <w:sz w:val="22"/>
          <w:szCs w:val="22"/>
        </w:rPr>
        <w:t xml:space="preserve"> </w:t>
      </w:r>
      <w:r w:rsidRPr="00E830B4">
        <w:rPr>
          <w:rFonts w:ascii="Arial" w:hAnsi="Arial" w:cs="Arial"/>
          <w:bCs/>
          <w:i/>
          <w:sz w:val="22"/>
          <w:szCs w:val="22"/>
        </w:rPr>
        <w:t>de la población beneficiaria de IMG, teniendo en cuenta que el convenio suscrito</w:t>
      </w:r>
      <w:r>
        <w:rPr>
          <w:rFonts w:ascii="Arial" w:hAnsi="Arial" w:cs="Arial"/>
          <w:bCs/>
          <w:i/>
          <w:sz w:val="22"/>
          <w:szCs w:val="22"/>
        </w:rPr>
        <w:t xml:space="preserve"> </w:t>
      </w:r>
      <w:r w:rsidRPr="00E830B4">
        <w:rPr>
          <w:rFonts w:ascii="Arial" w:hAnsi="Arial" w:cs="Arial"/>
          <w:bCs/>
          <w:i/>
          <w:sz w:val="22"/>
          <w:szCs w:val="22"/>
        </w:rPr>
        <w:t>el 16 de abril de 2021 ya no cuenta con respaldo presupuestal, pues incluso con</w:t>
      </w:r>
      <w:r>
        <w:rPr>
          <w:rFonts w:ascii="Arial" w:hAnsi="Arial" w:cs="Arial"/>
          <w:bCs/>
          <w:i/>
          <w:sz w:val="22"/>
          <w:szCs w:val="22"/>
        </w:rPr>
        <w:t xml:space="preserve"> </w:t>
      </w:r>
      <w:r w:rsidRPr="00E830B4">
        <w:rPr>
          <w:rFonts w:ascii="Arial" w:hAnsi="Arial" w:cs="Arial"/>
          <w:bCs/>
          <w:i/>
          <w:sz w:val="22"/>
          <w:szCs w:val="22"/>
        </w:rPr>
        <w:t>la adición que se espera hacer, solo se alcanzaría a pagar parcialmente lo</w:t>
      </w:r>
      <w:r>
        <w:rPr>
          <w:rFonts w:ascii="Arial" w:hAnsi="Arial" w:cs="Arial"/>
          <w:bCs/>
          <w:i/>
          <w:sz w:val="22"/>
          <w:szCs w:val="22"/>
        </w:rPr>
        <w:t xml:space="preserve"> </w:t>
      </w:r>
      <w:r w:rsidRPr="00E830B4">
        <w:rPr>
          <w:rFonts w:ascii="Arial" w:hAnsi="Arial" w:cs="Arial"/>
          <w:bCs/>
          <w:i/>
          <w:sz w:val="22"/>
          <w:szCs w:val="22"/>
        </w:rPr>
        <w:t>correspondiente a las comisiones del mes de diciembre de 2021 y se requiere</w:t>
      </w:r>
      <w:r>
        <w:rPr>
          <w:rFonts w:ascii="Arial" w:hAnsi="Arial" w:cs="Arial"/>
          <w:bCs/>
          <w:i/>
          <w:sz w:val="22"/>
          <w:szCs w:val="22"/>
        </w:rPr>
        <w:t xml:space="preserve"> </w:t>
      </w:r>
      <w:r w:rsidRPr="00E830B4">
        <w:rPr>
          <w:rFonts w:ascii="Arial" w:hAnsi="Arial" w:cs="Arial"/>
          <w:bCs/>
          <w:i/>
          <w:sz w:val="22"/>
          <w:szCs w:val="22"/>
        </w:rPr>
        <w:t xml:space="preserve">contar con los servicios de </w:t>
      </w:r>
      <w:proofErr w:type="spellStart"/>
      <w:r w:rsidRPr="00E830B4">
        <w:rPr>
          <w:rFonts w:ascii="Arial" w:hAnsi="Arial" w:cs="Arial"/>
          <w:bCs/>
          <w:i/>
          <w:sz w:val="22"/>
          <w:szCs w:val="22"/>
        </w:rPr>
        <w:t>Movii</w:t>
      </w:r>
      <w:proofErr w:type="spellEnd"/>
      <w:r w:rsidRPr="00E830B4">
        <w:rPr>
          <w:rFonts w:ascii="Arial" w:hAnsi="Arial" w:cs="Arial"/>
          <w:bCs/>
          <w:i/>
          <w:sz w:val="22"/>
          <w:szCs w:val="22"/>
        </w:rPr>
        <w:t xml:space="preserve"> por lo menos hasta marzo de 2022?</w:t>
      </w:r>
    </w:p>
    <w:p w14:paraId="407D1FBE" w14:textId="77777777" w:rsidR="00612389" w:rsidRPr="00E830B4" w:rsidRDefault="00612389" w:rsidP="00612389">
      <w:pPr>
        <w:ind w:left="708"/>
        <w:jc w:val="both"/>
        <w:rPr>
          <w:rFonts w:ascii="Arial" w:hAnsi="Arial" w:cs="Arial"/>
          <w:bCs/>
          <w:i/>
          <w:sz w:val="22"/>
          <w:szCs w:val="22"/>
        </w:rPr>
      </w:pPr>
    </w:p>
    <w:p w14:paraId="1B3789E0" w14:textId="77777777" w:rsidR="00612389" w:rsidRDefault="00612389" w:rsidP="00612389">
      <w:pPr>
        <w:ind w:left="708"/>
        <w:jc w:val="both"/>
        <w:rPr>
          <w:rFonts w:ascii="Arial" w:hAnsi="Arial" w:cs="Arial"/>
          <w:bCs/>
          <w:i/>
          <w:sz w:val="22"/>
          <w:szCs w:val="22"/>
        </w:rPr>
      </w:pPr>
      <w:r w:rsidRPr="00E830B4">
        <w:rPr>
          <w:rFonts w:ascii="Arial" w:hAnsi="Arial" w:cs="Arial"/>
          <w:bCs/>
          <w:i/>
          <w:sz w:val="22"/>
          <w:szCs w:val="22"/>
        </w:rPr>
        <w:t xml:space="preserve">Dado que actualmente se tiene vigente el convenio suscrito con </w:t>
      </w:r>
      <w:proofErr w:type="spellStart"/>
      <w:r w:rsidRPr="00E830B4">
        <w:rPr>
          <w:rFonts w:ascii="Arial" w:hAnsi="Arial" w:cs="Arial"/>
          <w:bCs/>
          <w:i/>
          <w:sz w:val="22"/>
          <w:szCs w:val="22"/>
        </w:rPr>
        <w:t>Movii</w:t>
      </w:r>
      <w:proofErr w:type="spellEnd"/>
      <w:r w:rsidRPr="00E830B4">
        <w:rPr>
          <w:rFonts w:ascii="Arial" w:hAnsi="Arial" w:cs="Arial"/>
          <w:bCs/>
          <w:i/>
          <w:sz w:val="22"/>
          <w:szCs w:val="22"/>
        </w:rPr>
        <w:t xml:space="preserve"> el 16 de abril</w:t>
      </w:r>
      <w:r>
        <w:rPr>
          <w:rFonts w:ascii="Arial" w:hAnsi="Arial" w:cs="Arial"/>
          <w:bCs/>
          <w:i/>
          <w:sz w:val="22"/>
          <w:szCs w:val="22"/>
        </w:rPr>
        <w:t xml:space="preserve"> </w:t>
      </w:r>
      <w:r w:rsidRPr="00E830B4">
        <w:rPr>
          <w:rFonts w:ascii="Arial" w:hAnsi="Arial" w:cs="Arial"/>
          <w:bCs/>
          <w:i/>
          <w:sz w:val="22"/>
          <w:szCs w:val="22"/>
        </w:rPr>
        <w:t>de 2021, en caso de que se pensara en la posibilidad de suscribir un nuevo</w:t>
      </w:r>
      <w:r>
        <w:rPr>
          <w:rFonts w:ascii="Arial" w:hAnsi="Arial" w:cs="Arial"/>
          <w:bCs/>
          <w:i/>
          <w:sz w:val="22"/>
          <w:szCs w:val="22"/>
        </w:rPr>
        <w:t xml:space="preserve"> </w:t>
      </w:r>
      <w:r w:rsidRPr="00E830B4">
        <w:rPr>
          <w:rFonts w:ascii="Arial" w:hAnsi="Arial" w:cs="Arial"/>
          <w:bCs/>
          <w:i/>
          <w:sz w:val="22"/>
          <w:szCs w:val="22"/>
        </w:rPr>
        <w:t xml:space="preserve">convenio con </w:t>
      </w:r>
      <w:proofErr w:type="spellStart"/>
      <w:r w:rsidRPr="00E830B4">
        <w:rPr>
          <w:rFonts w:ascii="Arial" w:hAnsi="Arial" w:cs="Arial"/>
          <w:bCs/>
          <w:i/>
          <w:sz w:val="22"/>
          <w:szCs w:val="22"/>
        </w:rPr>
        <w:t>Movii</w:t>
      </w:r>
      <w:proofErr w:type="spellEnd"/>
      <w:r w:rsidRPr="00E830B4">
        <w:rPr>
          <w:rFonts w:ascii="Arial" w:hAnsi="Arial" w:cs="Arial"/>
          <w:bCs/>
          <w:i/>
          <w:sz w:val="22"/>
          <w:szCs w:val="22"/>
        </w:rPr>
        <w:t xml:space="preserve"> ¿hay algún impedimento en tener en ejecución dos (2)</w:t>
      </w:r>
      <w:r>
        <w:rPr>
          <w:rFonts w:ascii="Arial" w:hAnsi="Arial" w:cs="Arial"/>
          <w:bCs/>
          <w:i/>
          <w:sz w:val="22"/>
          <w:szCs w:val="22"/>
        </w:rPr>
        <w:t xml:space="preserve"> </w:t>
      </w:r>
      <w:r w:rsidRPr="00E830B4">
        <w:rPr>
          <w:rFonts w:ascii="Arial" w:hAnsi="Arial" w:cs="Arial"/>
          <w:bCs/>
          <w:i/>
          <w:sz w:val="22"/>
          <w:szCs w:val="22"/>
        </w:rPr>
        <w:t>convenios diferentes con el mismo objeto y con el mismo operador (</w:t>
      </w:r>
      <w:proofErr w:type="spellStart"/>
      <w:r w:rsidRPr="00E830B4">
        <w:rPr>
          <w:rFonts w:ascii="Arial" w:hAnsi="Arial" w:cs="Arial"/>
          <w:bCs/>
          <w:i/>
          <w:sz w:val="22"/>
          <w:szCs w:val="22"/>
        </w:rPr>
        <w:t>Movii</w:t>
      </w:r>
      <w:proofErr w:type="spellEnd"/>
      <w:r w:rsidRPr="00E830B4">
        <w:rPr>
          <w:rFonts w:ascii="Arial" w:hAnsi="Arial" w:cs="Arial"/>
          <w:bCs/>
          <w:i/>
          <w:sz w:val="22"/>
          <w:szCs w:val="22"/>
        </w:rPr>
        <w:t>) durante</w:t>
      </w:r>
      <w:r>
        <w:rPr>
          <w:rFonts w:ascii="Arial" w:hAnsi="Arial" w:cs="Arial"/>
          <w:bCs/>
          <w:i/>
          <w:sz w:val="22"/>
          <w:szCs w:val="22"/>
        </w:rPr>
        <w:t xml:space="preserve"> </w:t>
      </w:r>
      <w:r w:rsidRPr="00E830B4">
        <w:rPr>
          <w:rFonts w:ascii="Arial" w:hAnsi="Arial" w:cs="Arial"/>
          <w:bCs/>
          <w:i/>
          <w:sz w:val="22"/>
          <w:szCs w:val="22"/>
        </w:rPr>
        <w:t xml:space="preserve">el mismo espacio de tiempo? </w:t>
      </w:r>
    </w:p>
    <w:p w14:paraId="3CB125A6" w14:textId="77777777" w:rsidR="00612389" w:rsidRDefault="00612389" w:rsidP="00612389">
      <w:pPr>
        <w:ind w:left="708"/>
        <w:jc w:val="both"/>
        <w:rPr>
          <w:rFonts w:ascii="Arial" w:hAnsi="Arial" w:cs="Arial"/>
          <w:bCs/>
          <w:i/>
          <w:sz w:val="22"/>
          <w:szCs w:val="22"/>
        </w:rPr>
      </w:pPr>
    </w:p>
    <w:p w14:paraId="72FE31E2" w14:textId="77777777" w:rsidR="00612389" w:rsidRPr="00C61008" w:rsidRDefault="00612389" w:rsidP="00612389">
      <w:pPr>
        <w:ind w:left="708"/>
        <w:jc w:val="both"/>
        <w:rPr>
          <w:rFonts w:ascii="Arial" w:hAnsi="Arial" w:cs="Arial"/>
          <w:bCs/>
          <w:i/>
          <w:sz w:val="22"/>
          <w:szCs w:val="22"/>
        </w:rPr>
      </w:pPr>
      <w:r w:rsidRPr="00E830B4">
        <w:rPr>
          <w:rFonts w:ascii="Arial" w:hAnsi="Arial" w:cs="Arial"/>
          <w:bCs/>
          <w:i/>
          <w:sz w:val="22"/>
          <w:szCs w:val="22"/>
        </w:rPr>
        <w:t>De ser afirmativa esta respuesta ¿Qué medidas</w:t>
      </w:r>
      <w:r>
        <w:rPr>
          <w:rFonts w:ascii="Arial" w:hAnsi="Arial" w:cs="Arial"/>
          <w:bCs/>
          <w:i/>
          <w:sz w:val="22"/>
          <w:szCs w:val="22"/>
        </w:rPr>
        <w:t xml:space="preserve"> </w:t>
      </w:r>
      <w:r w:rsidRPr="00E830B4">
        <w:rPr>
          <w:rFonts w:ascii="Arial" w:hAnsi="Arial" w:cs="Arial"/>
          <w:bCs/>
          <w:i/>
          <w:sz w:val="22"/>
          <w:szCs w:val="22"/>
        </w:rPr>
        <w:t>contractuales podría adoptar la Secretaría Distrital de Hacienda para evitar esta</w:t>
      </w:r>
      <w:r>
        <w:rPr>
          <w:rFonts w:ascii="Arial" w:hAnsi="Arial" w:cs="Arial"/>
          <w:bCs/>
          <w:i/>
          <w:sz w:val="22"/>
          <w:szCs w:val="22"/>
        </w:rPr>
        <w:t xml:space="preserve"> </w:t>
      </w:r>
      <w:r w:rsidRPr="00E830B4">
        <w:rPr>
          <w:rFonts w:ascii="Arial" w:hAnsi="Arial" w:cs="Arial"/>
          <w:bCs/>
          <w:i/>
          <w:sz w:val="22"/>
          <w:szCs w:val="22"/>
        </w:rPr>
        <w:t>concurrencia de objetos?</w:t>
      </w:r>
      <w:r>
        <w:rPr>
          <w:rFonts w:ascii="Arial" w:hAnsi="Arial" w:cs="Arial"/>
          <w:bCs/>
          <w:i/>
          <w:sz w:val="22"/>
          <w:szCs w:val="22"/>
        </w:rPr>
        <w:t>”</w:t>
      </w:r>
    </w:p>
    <w:p w14:paraId="1CCCB07A" w14:textId="77777777" w:rsidR="00612389" w:rsidRDefault="00612389" w:rsidP="00612389">
      <w:pPr>
        <w:jc w:val="both"/>
        <w:rPr>
          <w:rFonts w:ascii="Arial" w:hAnsi="Arial" w:cs="Arial"/>
          <w:b/>
          <w:bCs/>
          <w:sz w:val="22"/>
          <w:szCs w:val="22"/>
        </w:rPr>
      </w:pPr>
    </w:p>
    <w:p w14:paraId="739AF815" w14:textId="77777777" w:rsidR="00612389" w:rsidRPr="00C620DF" w:rsidRDefault="00612389" w:rsidP="00612389">
      <w:pPr>
        <w:jc w:val="both"/>
        <w:rPr>
          <w:rFonts w:ascii="Arial" w:hAnsi="Arial" w:cs="Arial"/>
          <w:b/>
          <w:bCs/>
          <w:sz w:val="22"/>
          <w:szCs w:val="22"/>
        </w:rPr>
      </w:pPr>
    </w:p>
    <w:p w14:paraId="1B2C2D93" w14:textId="77777777" w:rsidR="00612389" w:rsidRPr="00C620DF" w:rsidRDefault="00612389" w:rsidP="00612389">
      <w:pPr>
        <w:jc w:val="both"/>
        <w:rPr>
          <w:rFonts w:ascii="Arial" w:hAnsi="Arial" w:cs="Arial"/>
          <w:b/>
          <w:bCs/>
          <w:sz w:val="22"/>
          <w:szCs w:val="22"/>
        </w:rPr>
      </w:pPr>
      <w:r w:rsidRPr="00C620DF">
        <w:rPr>
          <w:rFonts w:ascii="Arial" w:hAnsi="Arial" w:cs="Arial"/>
          <w:b/>
          <w:bCs/>
          <w:sz w:val="22"/>
          <w:szCs w:val="22"/>
        </w:rPr>
        <w:t>CONSIDERACIONES</w:t>
      </w:r>
    </w:p>
    <w:p w14:paraId="08DD2245" w14:textId="77777777" w:rsidR="00612389" w:rsidRPr="00C620DF" w:rsidRDefault="00612389" w:rsidP="00612389">
      <w:pPr>
        <w:jc w:val="both"/>
        <w:rPr>
          <w:rFonts w:ascii="Arial" w:hAnsi="Arial" w:cs="Arial"/>
          <w:b/>
          <w:bCs/>
          <w:sz w:val="22"/>
          <w:szCs w:val="22"/>
        </w:rPr>
      </w:pPr>
    </w:p>
    <w:p w14:paraId="26785795" w14:textId="77777777" w:rsidR="00612389" w:rsidRDefault="00612389" w:rsidP="00612389">
      <w:pPr>
        <w:jc w:val="both"/>
        <w:rPr>
          <w:rFonts w:ascii="Arial" w:hAnsi="Arial" w:cs="Arial"/>
          <w:bCs/>
          <w:sz w:val="22"/>
          <w:szCs w:val="22"/>
        </w:rPr>
      </w:pPr>
      <w:r w:rsidRPr="00C620DF">
        <w:rPr>
          <w:rFonts w:ascii="Arial" w:hAnsi="Arial" w:cs="Arial"/>
          <w:sz w:val="22"/>
          <w:szCs w:val="22"/>
        </w:rPr>
        <w:t xml:space="preserve">Para resolver las inquietudes planteadas, </w:t>
      </w:r>
      <w:r>
        <w:rPr>
          <w:rFonts w:ascii="Arial" w:hAnsi="Arial" w:cs="Arial"/>
          <w:sz w:val="22"/>
          <w:szCs w:val="22"/>
        </w:rPr>
        <w:t>se analizará</w:t>
      </w:r>
      <w:r w:rsidRPr="00C620DF">
        <w:rPr>
          <w:rFonts w:ascii="Arial" w:hAnsi="Arial" w:cs="Arial"/>
          <w:sz w:val="22"/>
          <w:szCs w:val="22"/>
        </w:rPr>
        <w:t xml:space="preserve">: (i) </w:t>
      </w:r>
      <w:r w:rsidRPr="00CA04C7">
        <w:rPr>
          <w:rFonts w:ascii="Arial" w:hAnsi="Arial" w:cs="Arial"/>
          <w:sz w:val="22"/>
          <w:szCs w:val="22"/>
        </w:rPr>
        <w:t>Convocatoria Pública SHD 001-2021; (ii) Necesidad de</w:t>
      </w:r>
      <w:r>
        <w:rPr>
          <w:rFonts w:ascii="Arial" w:hAnsi="Arial" w:cs="Arial"/>
          <w:sz w:val="22"/>
          <w:szCs w:val="22"/>
        </w:rPr>
        <w:t>l servicio</w:t>
      </w:r>
      <w:r>
        <w:rPr>
          <w:rFonts w:ascii="Arial" w:hAnsi="Arial" w:cs="Arial"/>
          <w:bCs/>
          <w:sz w:val="22"/>
          <w:szCs w:val="22"/>
        </w:rPr>
        <w:t>; (iii)</w:t>
      </w:r>
      <w:r w:rsidRPr="00E830B4">
        <w:rPr>
          <w:rFonts w:ascii="Arial" w:hAnsi="Arial" w:cs="Arial"/>
          <w:b/>
          <w:sz w:val="22"/>
          <w:szCs w:val="22"/>
        </w:rPr>
        <w:t xml:space="preserve"> </w:t>
      </w:r>
      <w:r w:rsidRPr="00E830B4">
        <w:rPr>
          <w:rFonts w:ascii="Arial" w:hAnsi="Arial" w:cs="Arial"/>
          <w:sz w:val="22"/>
          <w:szCs w:val="22"/>
        </w:rPr>
        <w:t>Mantener los servicios del tercer operador</w:t>
      </w:r>
      <w:r w:rsidRPr="00E830B4">
        <w:rPr>
          <w:rFonts w:ascii="Arial" w:hAnsi="Arial" w:cs="Arial"/>
          <w:bCs/>
          <w:sz w:val="22"/>
          <w:szCs w:val="22"/>
        </w:rPr>
        <w:t xml:space="preserve">. </w:t>
      </w:r>
    </w:p>
    <w:p w14:paraId="71C4B08A" w14:textId="77777777" w:rsidR="00612389" w:rsidRPr="00E830B4" w:rsidRDefault="00612389" w:rsidP="00612389">
      <w:pPr>
        <w:jc w:val="both"/>
        <w:rPr>
          <w:rFonts w:ascii="Arial" w:hAnsi="Arial" w:cs="Arial"/>
          <w:bCs/>
          <w:sz w:val="22"/>
          <w:szCs w:val="22"/>
        </w:rPr>
      </w:pPr>
    </w:p>
    <w:p w14:paraId="21B58DEE" w14:textId="77777777" w:rsidR="00612389" w:rsidRPr="003D503F" w:rsidRDefault="00612389" w:rsidP="00612389">
      <w:pPr>
        <w:jc w:val="both"/>
        <w:rPr>
          <w:rFonts w:ascii="Arial" w:hAnsi="Arial" w:cs="Arial"/>
          <w:bCs/>
          <w:sz w:val="22"/>
          <w:szCs w:val="22"/>
        </w:rPr>
      </w:pPr>
    </w:p>
    <w:p w14:paraId="4D12973C" w14:textId="77777777" w:rsidR="00612389" w:rsidRDefault="00612389" w:rsidP="00612389">
      <w:pPr>
        <w:pStyle w:val="Prrafodelista"/>
        <w:numPr>
          <w:ilvl w:val="0"/>
          <w:numId w:val="3"/>
        </w:numPr>
        <w:jc w:val="both"/>
        <w:rPr>
          <w:rFonts w:ascii="Arial" w:hAnsi="Arial" w:cs="Arial"/>
          <w:b/>
          <w:bCs/>
          <w:sz w:val="22"/>
          <w:szCs w:val="22"/>
        </w:rPr>
      </w:pPr>
      <w:r w:rsidRPr="00CA04C7">
        <w:rPr>
          <w:rFonts w:ascii="Arial" w:hAnsi="Arial" w:cs="Arial"/>
          <w:b/>
          <w:bCs/>
          <w:sz w:val="22"/>
          <w:szCs w:val="22"/>
        </w:rPr>
        <w:t>Convocatoria Pública SHD 001-2021</w:t>
      </w:r>
    </w:p>
    <w:p w14:paraId="5D40C657" w14:textId="77777777" w:rsidR="00612389" w:rsidRDefault="00612389" w:rsidP="00612389">
      <w:pPr>
        <w:ind w:left="360"/>
        <w:jc w:val="both"/>
        <w:rPr>
          <w:rFonts w:ascii="Arial" w:hAnsi="Arial" w:cs="Arial"/>
          <w:bCs/>
          <w:i/>
          <w:sz w:val="22"/>
          <w:szCs w:val="22"/>
        </w:rPr>
      </w:pPr>
    </w:p>
    <w:p w14:paraId="1905E6E0" w14:textId="77777777" w:rsidR="00612389" w:rsidRPr="004A2036" w:rsidRDefault="00612389" w:rsidP="00612389">
      <w:pPr>
        <w:jc w:val="both"/>
        <w:rPr>
          <w:rFonts w:ascii="Arial" w:hAnsi="Arial" w:cs="Arial"/>
          <w:bCs/>
          <w:i/>
        </w:rPr>
      </w:pPr>
      <w:r>
        <w:rPr>
          <w:rFonts w:ascii="Arial" w:hAnsi="Arial" w:cs="Arial"/>
          <w:bCs/>
          <w:sz w:val="22"/>
          <w:szCs w:val="22"/>
        </w:rPr>
        <w:t>La Tesorería Distrital informa que a través de la</w:t>
      </w:r>
      <w:r w:rsidRPr="0038149C">
        <w:rPr>
          <w:rFonts w:ascii="Arial" w:hAnsi="Arial" w:cs="Arial"/>
          <w:bCs/>
          <w:sz w:val="22"/>
          <w:szCs w:val="22"/>
        </w:rPr>
        <w:t xml:space="preserve"> Convocatoria </w:t>
      </w:r>
      <w:r w:rsidRPr="00E830B4">
        <w:rPr>
          <w:rFonts w:ascii="Arial" w:hAnsi="Arial" w:cs="Arial"/>
          <w:bCs/>
          <w:sz w:val="22"/>
          <w:szCs w:val="22"/>
        </w:rPr>
        <w:t xml:space="preserve">Pública SHD 001-2021 se adelantó la selección </w:t>
      </w:r>
      <w:r>
        <w:rPr>
          <w:rFonts w:ascii="Arial" w:hAnsi="Arial" w:cs="Arial"/>
          <w:bCs/>
          <w:sz w:val="22"/>
          <w:szCs w:val="22"/>
        </w:rPr>
        <w:t>para contar</w:t>
      </w:r>
      <w:r w:rsidRPr="00E830B4">
        <w:rPr>
          <w:rFonts w:ascii="Arial" w:hAnsi="Arial" w:cs="Arial"/>
          <w:bCs/>
          <w:sz w:val="22"/>
          <w:szCs w:val="22"/>
        </w:rPr>
        <w:t xml:space="preserve"> </w:t>
      </w:r>
      <w:r>
        <w:rPr>
          <w:rFonts w:ascii="Arial" w:hAnsi="Arial" w:cs="Arial"/>
          <w:bCs/>
          <w:sz w:val="22"/>
          <w:szCs w:val="22"/>
        </w:rPr>
        <w:t>con seis (6)</w:t>
      </w:r>
      <w:r w:rsidRPr="00E830B4">
        <w:rPr>
          <w:rFonts w:ascii="Arial" w:hAnsi="Arial" w:cs="Arial"/>
          <w:bCs/>
          <w:sz w:val="22"/>
          <w:szCs w:val="22"/>
        </w:rPr>
        <w:t xml:space="preserve"> operadores financieros o prestadores de servicios financieros con el objetivo de suscribir Convenios para la prestación global de servicios de dispersión de transferencias monetarias y giros</w:t>
      </w:r>
      <w:r>
        <w:rPr>
          <w:rFonts w:ascii="Arial" w:hAnsi="Arial" w:cs="Arial"/>
          <w:bCs/>
          <w:sz w:val="22"/>
          <w:szCs w:val="22"/>
        </w:rPr>
        <w:t xml:space="preserve"> </w:t>
      </w:r>
      <w:r w:rsidRPr="00E830B4">
        <w:rPr>
          <w:rFonts w:ascii="Arial" w:hAnsi="Arial" w:cs="Arial"/>
          <w:bCs/>
          <w:sz w:val="22"/>
          <w:szCs w:val="22"/>
        </w:rPr>
        <w:t>a favor de la población beneficiaria de la estrategia integral Ingreso Mínimo Garantizado (IMG)</w:t>
      </w:r>
      <w:r>
        <w:rPr>
          <w:rFonts w:ascii="Arial" w:hAnsi="Arial" w:cs="Arial"/>
          <w:bCs/>
          <w:sz w:val="22"/>
          <w:szCs w:val="22"/>
        </w:rPr>
        <w:t>, con cláusula de remuneración en dinero por concepto de comisión derivada de los servicios prestados.</w:t>
      </w:r>
    </w:p>
    <w:p w14:paraId="1276EF1A" w14:textId="77777777" w:rsidR="00612389" w:rsidRDefault="00612389" w:rsidP="00612389">
      <w:pPr>
        <w:ind w:left="426" w:right="283"/>
        <w:jc w:val="both"/>
        <w:rPr>
          <w:rFonts w:ascii="Arial" w:hAnsi="Arial" w:cs="Arial"/>
          <w:bCs/>
          <w:i/>
        </w:rPr>
      </w:pPr>
    </w:p>
    <w:p w14:paraId="77BF761C" w14:textId="77777777" w:rsidR="00612389" w:rsidRDefault="00612389" w:rsidP="00612389">
      <w:pPr>
        <w:jc w:val="both"/>
        <w:rPr>
          <w:rFonts w:ascii="Arial" w:hAnsi="Arial" w:cs="Arial"/>
          <w:bCs/>
          <w:sz w:val="22"/>
          <w:szCs w:val="22"/>
        </w:rPr>
      </w:pPr>
      <w:r w:rsidRPr="004A2036">
        <w:rPr>
          <w:rFonts w:ascii="Arial" w:hAnsi="Arial" w:cs="Arial"/>
          <w:bCs/>
          <w:sz w:val="22"/>
          <w:szCs w:val="22"/>
        </w:rPr>
        <w:t>Como resultado del proceso de selección</w:t>
      </w:r>
      <w:r>
        <w:rPr>
          <w:rFonts w:ascii="Arial" w:hAnsi="Arial" w:cs="Arial"/>
          <w:bCs/>
          <w:sz w:val="22"/>
          <w:szCs w:val="22"/>
        </w:rPr>
        <w:t xml:space="preserve">, el 17 de marzo de 2021 </w:t>
      </w:r>
      <w:r w:rsidRPr="004A2036">
        <w:rPr>
          <w:rFonts w:ascii="Arial" w:hAnsi="Arial" w:cs="Arial"/>
          <w:bCs/>
          <w:sz w:val="22"/>
          <w:szCs w:val="22"/>
        </w:rPr>
        <w:t xml:space="preserve">se seleccionaron </w:t>
      </w:r>
      <w:r>
        <w:rPr>
          <w:rFonts w:ascii="Arial" w:hAnsi="Arial" w:cs="Arial"/>
          <w:bCs/>
          <w:sz w:val="22"/>
          <w:szCs w:val="22"/>
        </w:rPr>
        <w:t xml:space="preserve">los </w:t>
      </w:r>
      <w:r w:rsidRPr="004A2036">
        <w:rPr>
          <w:rFonts w:ascii="Arial" w:hAnsi="Arial" w:cs="Arial"/>
          <w:bCs/>
          <w:sz w:val="22"/>
          <w:szCs w:val="22"/>
        </w:rPr>
        <w:t xml:space="preserve">tres (3) </w:t>
      </w:r>
      <w:r>
        <w:rPr>
          <w:rFonts w:ascii="Arial" w:hAnsi="Arial" w:cs="Arial"/>
          <w:bCs/>
          <w:sz w:val="22"/>
          <w:szCs w:val="22"/>
        </w:rPr>
        <w:t xml:space="preserve">operadores </w:t>
      </w:r>
      <w:r w:rsidRPr="004A2036">
        <w:rPr>
          <w:rFonts w:ascii="Arial" w:hAnsi="Arial" w:cs="Arial"/>
          <w:bCs/>
          <w:sz w:val="22"/>
          <w:szCs w:val="22"/>
        </w:rPr>
        <w:t>que cumplieron con los requisito</w:t>
      </w:r>
      <w:r>
        <w:rPr>
          <w:rFonts w:ascii="Arial" w:hAnsi="Arial" w:cs="Arial"/>
          <w:bCs/>
          <w:sz w:val="22"/>
          <w:szCs w:val="22"/>
        </w:rPr>
        <w:t xml:space="preserve">s: </w:t>
      </w:r>
      <w:r w:rsidRPr="0038149C">
        <w:rPr>
          <w:rFonts w:ascii="Arial" w:hAnsi="Arial" w:cs="Arial"/>
          <w:bCs/>
          <w:sz w:val="22"/>
          <w:szCs w:val="22"/>
        </w:rPr>
        <w:t>Davivienda, MOVII y Bancolombia</w:t>
      </w:r>
      <w:r>
        <w:rPr>
          <w:rFonts w:ascii="Arial" w:hAnsi="Arial" w:cs="Arial"/>
          <w:bCs/>
          <w:sz w:val="22"/>
          <w:szCs w:val="22"/>
        </w:rPr>
        <w:t>, entidades con las que se suscribieron los correspondientes convenios con plazo de un año, aún vigentes.</w:t>
      </w:r>
    </w:p>
    <w:p w14:paraId="0722FCD2" w14:textId="77777777" w:rsidR="00612389" w:rsidRDefault="00612389" w:rsidP="00612389">
      <w:pPr>
        <w:jc w:val="both"/>
        <w:rPr>
          <w:rFonts w:ascii="Arial" w:hAnsi="Arial" w:cs="Arial"/>
          <w:bCs/>
          <w:sz w:val="22"/>
          <w:szCs w:val="22"/>
        </w:rPr>
      </w:pPr>
    </w:p>
    <w:p w14:paraId="6449C673" w14:textId="77777777" w:rsidR="00612389" w:rsidRPr="00E830B4" w:rsidRDefault="00612389" w:rsidP="00612389">
      <w:pPr>
        <w:jc w:val="both"/>
        <w:rPr>
          <w:rFonts w:ascii="Arial" w:hAnsi="Arial" w:cs="Arial"/>
          <w:bCs/>
          <w:sz w:val="22"/>
          <w:szCs w:val="22"/>
        </w:rPr>
      </w:pPr>
      <w:r>
        <w:rPr>
          <w:rFonts w:ascii="Arial" w:hAnsi="Arial" w:cs="Arial"/>
          <w:bCs/>
          <w:sz w:val="22"/>
          <w:szCs w:val="22"/>
        </w:rPr>
        <w:t>Se acordó que el término de ejecución de los convenios podría prorrogarse por acuerdo entre las partes, según las necesidades de la Secretaría Distrital de Hacienda – Dirección Distrital de Tesorería y de acuerdo con la vigencia de la estrategia integral Ingreso Mínimo Garantizado – IMG.</w:t>
      </w:r>
    </w:p>
    <w:p w14:paraId="7D4F1286" w14:textId="77777777" w:rsidR="00612389" w:rsidRDefault="00612389" w:rsidP="00612389">
      <w:pPr>
        <w:jc w:val="both"/>
        <w:rPr>
          <w:rFonts w:ascii="Arial" w:hAnsi="Arial" w:cs="Arial"/>
          <w:bCs/>
          <w:sz w:val="22"/>
          <w:szCs w:val="22"/>
        </w:rPr>
      </w:pPr>
    </w:p>
    <w:p w14:paraId="5D869C55" w14:textId="77777777" w:rsidR="00612389" w:rsidRPr="00CA04C7" w:rsidRDefault="00612389" w:rsidP="00612389">
      <w:pPr>
        <w:jc w:val="both"/>
        <w:rPr>
          <w:rFonts w:ascii="Arial" w:hAnsi="Arial" w:cs="Arial"/>
          <w:b/>
          <w:bCs/>
          <w:sz w:val="22"/>
          <w:szCs w:val="22"/>
        </w:rPr>
      </w:pPr>
    </w:p>
    <w:p w14:paraId="10285A40" w14:textId="77777777" w:rsidR="00612389" w:rsidRPr="00E830B4" w:rsidRDefault="00612389" w:rsidP="00612389">
      <w:pPr>
        <w:pStyle w:val="Prrafodelista"/>
        <w:numPr>
          <w:ilvl w:val="0"/>
          <w:numId w:val="3"/>
        </w:numPr>
        <w:jc w:val="both"/>
        <w:rPr>
          <w:rFonts w:ascii="Arial" w:hAnsi="Arial" w:cs="Arial"/>
          <w:bCs/>
          <w:sz w:val="22"/>
          <w:szCs w:val="22"/>
        </w:rPr>
      </w:pPr>
      <w:r w:rsidRPr="00E830B4">
        <w:rPr>
          <w:rFonts w:ascii="Arial" w:hAnsi="Arial" w:cs="Arial"/>
          <w:b/>
          <w:bCs/>
          <w:sz w:val="22"/>
          <w:szCs w:val="22"/>
        </w:rPr>
        <w:t>Necesidad de</w:t>
      </w:r>
      <w:r>
        <w:rPr>
          <w:rFonts w:ascii="Arial" w:hAnsi="Arial" w:cs="Arial"/>
          <w:b/>
          <w:bCs/>
          <w:sz w:val="22"/>
          <w:szCs w:val="22"/>
        </w:rPr>
        <w:t>l servicio</w:t>
      </w:r>
    </w:p>
    <w:p w14:paraId="771AF5E7" w14:textId="77777777" w:rsidR="00612389" w:rsidRPr="00E830B4" w:rsidRDefault="00612389" w:rsidP="00612389">
      <w:pPr>
        <w:pStyle w:val="Prrafodelista"/>
        <w:ind w:left="1080"/>
        <w:jc w:val="both"/>
        <w:rPr>
          <w:rFonts w:ascii="Arial" w:hAnsi="Arial" w:cs="Arial"/>
          <w:bCs/>
          <w:sz w:val="22"/>
          <w:szCs w:val="22"/>
        </w:rPr>
      </w:pPr>
    </w:p>
    <w:p w14:paraId="6058A902" w14:textId="77777777" w:rsidR="00612389" w:rsidRDefault="00612389" w:rsidP="00612389">
      <w:pPr>
        <w:jc w:val="both"/>
        <w:rPr>
          <w:rFonts w:ascii="Arial" w:hAnsi="Arial" w:cs="Arial"/>
          <w:sz w:val="22"/>
          <w:szCs w:val="22"/>
        </w:rPr>
      </w:pPr>
      <w:r>
        <w:rPr>
          <w:rFonts w:ascii="Arial" w:hAnsi="Arial" w:cs="Arial"/>
          <w:bCs/>
          <w:sz w:val="22"/>
          <w:szCs w:val="22"/>
        </w:rPr>
        <w:t>En la Convocatoria</w:t>
      </w:r>
      <w:r w:rsidRPr="00E830B4">
        <w:rPr>
          <w:rFonts w:ascii="Arial" w:hAnsi="Arial" w:cs="Arial"/>
          <w:sz w:val="22"/>
          <w:szCs w:val="22"/>
        </w:rPr>
        <w:t xml:space="preserve"> </w:t>
      </w:r>
      <w:r w:rsidRPr="00CA04C7">
        <w:rPr>
          <w:rFonts w:ascii="Arial" w:hAnsi="Arial" w:cs="Arial"/>
          <w:sz w:val="22"/>
          <w:szCs w:val="22"/>
        </w:rPr>
        <w:t>Pública SHD 001-2021</w:t>
      </w:r>
      <w:r>
        <w:rPr>
          <w:rFonts w:ascii="Arial" w:hAnsi="Arial" w:cs="Arial"/>
          <w:sz w:val="22"/>
          <w:szCs w:val="22"/>
        </w:rPr>
        <w:t xml:space="preserve"> se evidenciaron criterios de no concentración y características de la población beneficiaria para determinar la necesidad del servicio de seis (6) operadores. Al sólo ser seleccionados tres (3) operadores la operatividad de cada uno se incrementó.</w:t>
      </w:r>
    </w:p>
    <w:p w14:paraId="4458A8F0" w14:textId="77777777" w:rsidR="00612389" w:rsidRDefault="00612389" w:rsidP="00612389">
      <w:pPr>
        <w:jc w:val="both"/>
        <w:rPr>
          <w:rFonts w:ascii="Arial" w:hAnsi="Arial" w:cs="Arial"/>
          <w:sz w:val="22"/>
          <w:szCs w:val="22"/>
        </w:rPr>
      </w:pPr>
    </w:p>
    <w:p w14:paraId="1855D8A8" w14:textId="77777777" w:rsidR="00612389" w:rsidRDefault="00612389" w:rsidP="00612389">
      <w:pPr>
        <w:jc w:val="both"/>
        <w:rPr>
          <w:rFonts w:ascii="Arial" w:hAnsi="Arial" w:cs="Arial"/>
          <w:sz w:val="22"/>
          <w:szCs w:val="22"/>
        </w:rPr>
      </w:pPr>
      <w:r>
        <w:rPr>
          <w:rFonts w:ascii="Arial" w:hAnsi="Arial" w:cs="Arial"/>
          <w:sz w:val="22"/>
          <w:szCs w:val="22"/>
        </w:rPr>
        <w:t xml:space="preserve">Lo anterior implica que al faltar uno de los tres operadores podría concentrarse la operación y sobrecargar a los dos restantes, haciendo necesaria la </w:t>
      </w:r>
      <w:proofErr w:type="spellStart"/>
      <w:r>
        <w:rPr>
          <w:rFonts w:ascii="Arial" w:hAnsi="Arial" w:cs="Arial"/>
          <w:sz w:val="22"/>
          <w:szCs w:val="22"/>
        </w:rPr>
        <w:t>busqueda</w:t>
      </w:r>
      <w:proofErr w:type="spellEnd"/>
      <w:r>
        <w:rPr>
          <w:rFonts w:ascii="Arial" w:hAnsi="Arial" w:cs="Arial"/>
          <w:sz w:val="22"/>
          <w:szCs w:val="22"/>
        </w:rPr>
        <w:t xml:space="preserve"> de una solución para continuar con el servicio del tercer operador.</w:t>
      </w:r>
    </w:p>
    <w:p w14:paraId="306553DD" w14:textId="77777777" w:rsidR="00612389" w:rsidRDefault="00612389" w:rsidP="00612389">
      <w:pPr>
        <w:jc w:val="both"/>
        <w:rPr>
          <w:rFonts w:ascii="Arial" w:hAnsi="Arial" w:cs="Arial"/>
          <w:bCs/>
          <w:sz w:val="22"/>
          <w:szCs w:val="22"/>
        </w:rPr>
      </w:pPr>
    </w:p>
    <w:p w14:paraId="3A4F0CEB" w14:textId="77777777" w:rsidR="00612389" w:rsidRDefault="00612389" w:rsidP="00612389">
      <w:pPr>
        <w:jc w:val="both"/>
        <w:rPr>
          <w:rFonts w:ascii="Arial" w:hAnsi="Arial" w:cs="Arial"/>
          <w:bCs/>
          <w:sz w:val="22"/>
          <w:szCs w:val="22"/>
        </w:rPr>
      </w:pPr>
      <w:r>
        <w:rPr>
          <w:rFonts w:ascii="Arial" w:hAnsi="Arial" w:cs="Arial"/>
          <w:bCs/>
          <w:sz w:val="22"/>
          <w:szCs w:val="22"/>
        </w:rPr>
        <w:t xml:space="preserve">Adicionalmente, se informó que las proyecciones </w:t>
      </w:r>
      <w:r w:rsidRPr="005F1A22">
        <w:rPr>
          <w:rFonts w:ascii="Arial" w:hAnsi="Arial" w:cs="Arial"/>
          <w:bCs/>
          <w:sz w:val="22"/>
          <w:szCs w:val="22"/>
        </w:rPr>
        <w:t xml:space="preserve">iniciales se han </w:t>
      </w:r>
      <w:r>
        <w:rPr>
          <w:rFonts w:ascii="Arial" w:hAnsi="Arial" w:cs="Arial"/>
          <w:bCs/>
          <w:sz w:val="22"/>
          <w:szCs w:val="22"/>
        </w:rPr>
        <w:t xml:space="preserve">incrementado </w:t>
      </w:r>
      <w:r w:rsidRPr="005F1A22">
        <w:rPr>
          <w:rFonts w:ascii="Arial" w:hAnsi="Arial" w:cs="Arial"/>
          <w:bCs/>
          <w:sz w:val="22"/>
          <w:szCs w:val="22"/>
        </w:rPr>
        <w:t>como resultado de la</w:t>
      </w:r>
      <w:r>
        <w:rPr>
          <w:rFonts w:ascii="Arial" w:hAnsi="Arial" w:cs="Arial"/>
          <w:bCs/>
          <w:sz w:val="22"/>
          <w:szCs w:val="22"/>
        </w:rPr>
        <w:t xml:space="preserve"> </w:t>
      </w:r>
      <w:r w:rsidRPr="005F1A22">
        <w:rPr>
          <w:rFonts w:ascii="Arial" w:hAnsi="Arial" w:cs="Arial"/>
          <w:bCs/>
          <w:sz w:val="22"/>
          <w:szCs w:val="22"/>
        </w:rPr>
        <w:t xml:space="preserve">actualización de la base maestra de la Estrategia Integral de IMG, </w:t>
      </w:r>
      <w:r>
        <w:rPr>
          <w:rFonts w:ascii="Arial" w:hAnsi="Arial" w:cs="Arial"/>
          <w:bCs/>
          <w:sz w:val="22"/>
          <w:szCs w:val="22"/>
        </w:rPr>
        <w:t>consolidada</w:t>
      </w:r>
      <w:r w:rsidRPr="005F1A22">
        <w:rPr>
          <w:rFonts w:ascii="Arial" w:hAnsi="Arial" w:cs="Arial"/>
          <w:bCs/>
          <w:sz w:val="22"/>
          <w:szCs w:val="22"/>
        </w:rPr>
        <w:t xml:space="preserve"> por la Secretaría Distrital de Planeación</w:t>
      </w:r>
      <w:r>
        <w:rPr>
          <w:rFonts w:ascii="Arial" w:hAnsi="Arial" w:cs="Arial"/>
          <w:bCs/>
          <w:sz w:val="22"/>
          <w:szCs w:val="22"/>
        </w:rPr>
        <w:t xml:space="preserve">, requiriendo </w:t>
      </w:r>
      <w:r w:rsidRPr="005F1A22">
        <w:rPr>
          <w:rFonts w:ascii="Arial" w:hAnsi="Arial" w:cs="Arial"/>
          <w:bCs/>
          <w:sz w:val="22"/>
          <w:szCs w:val="22"/>
        </w:rPr>
        <w:t>un esfuerzo mayor en los</w:t>
      </w:r>
      <w:r>
        <w:rPr>
          <w:rFonts w:ascii="Arial" w:hAnsi="Arial" w:cs="Arial"/>
          <w:bCs/>
          <w:sz w:val="22"/>
          <w:szCs w:val="22"/>
        </w:rPr>
        <w:t xml:space="preserve"> </w:t>
      </w:r>
      <w:r w:rsidRPr="005F1A22">
        <w:rPr>
          <w:rFonts w:ascii="Arial" w:hAnsi="Arial" w:cs="Arial"/>
          <w:bCs/>
          <w:sz w:val="22"/>
          <w:szCs w:val="22"/>
        </w:rPr>
        <w:t>procesos de bancarización que se realizan por parte del distrito en conjunto con los</w:t>
      </w:r>
      <w:r>
        <w:rPr>
          <w:rFonts w:ascii="Arial" w:hAnsi="Arial" w:cs="Arial"/>
          <w:bCs/>
          <w:sz w:val="22"/>
          <w:szCs w:val="22"/>
        </w:rPr>
        <w:t xml:space="preserve"> </w:t>
      </w:r>
      <w:r w:rsidRPr="005F1A22">
        <w:rPr>
          <w:rFonts w:ascii="Arial" w:hAnsi="Arial" w:cs="Arial"/>
          <w:bCs/>
          <w:sz w:val="22"/>
          <w:szCs w:val="22"/>
        </w:rPr>
        <w:t>operadores financieros</w:t>
      </w:r>
      <w:r>
        <w:rPr>
          <w:rFonts w:ascii="Arial" w:hAnsi="Arial" w:cs="Arial"/>
          <w:bCs/>
          <w:sz w:val="22"/>
          <w:szCs w:val="22"/>
        </w:rPr>
        <w:t xml:space="preserve">, siendo </w:t>
      </w:r>
      <w:r w:rsidRPr="005F1A22">
        <w:rPr>
          <w:rFonts w:ascii="Arial" w:hAnsi="Arial" w:cs="Arial"/>
          <w:bCs/>
          <w:sz w:val="22"/>
          <w:szCs w:val="22"/>
        </w:rPr>
        <w:t>necesario bancarizar al menos 154</w:t>
      </w:r>
      <w:r>
        <w:rPr>
          <w:rFonts w:ascii="Arial" w:hAnsi="Arial" w:cs="Arial"/>
          <w:bCs/>
          <w:sz w:val="22"/>
          <w:szCs w:val="22"/>
        </w:rPr>
        <w:t>.</w:t>
      </w:r>
      <w:r w:rsidRPr="005F1A22">
        <w:rPr>
          <w:rFonts w:ascii="Arial" w:hAnsi="Arial" w:cs="Arial"/>
          <w:bCs/>
          <w:sz w:val="22"/>
          <w:szCs w:val="22"/>
        </w:rPr>
        <w:t>922</w:t>
      </w:r>
      <w:r>
        <w:rPr>
          <w:rFonts w:ascii="Arial" w:hAnsi="Arial" w:cs="Arial"/>
          <w:bCs/>
          <w:sz w:val="22"/>
          <w:szCs w:val="22"/>
        </w:rPr>
        <w:t xml:space="preserve"> </w:t>
      </w:r>
      <w:r w:rsidRPr="005F1A22">
        <w:rPr>
          <w:rFonts w:ascii="Arial" w:hAnsi="Arial" w:cs="Arial"/>
          <w:bCs/>
          <w:sz w:val="22"/>
          <w:szCs w:val="22"/>
        </w:rPr>
        <w:t>hogares en condición de pobreza y al menos 174</w:t>
      </w:r>
      <w:r>
        <w:rPr>
          <w:rFonts w:ascii="Arial" w:hAnsi="Arial" w:cs="Arial"/>
          <w:bCs/>
          <w:sz w:val="22"/>
          <w:szCs w:val="22"/>
        </w:rPr>
        <w:t>.</w:t>
      </w:r>
      <w:r w:rsidRPr="005F1A22">
        <w:rPr>
          <w:rFonts w:ascii="Arial" w:hAnsi="Arial" w:cs="Arial"/>
          <w:bCs/>
          <w:sz w:val="22"/>
          <w:szCs w:val="22"/>
        </w:rPr>
        <w:t>660 hogares en condición de</w:t>
      </w:r>
      <w:r>
        <w:rPr>
          <w:rFonts w:ascii="Arial" w:hAnsi="Arial" w:cs="Arial"/>
          <w:bCs/>
          <w:sz w:val="22"/>
          <w:szCs w:val="22"/>
        </w:rPr>
        <w:t xml:space="preserve"> </w:t>
      </w:r>
      <w:r w:rsidRPr="005F1A22">
        <w:rPr>
          <w:rFonts w:ascii="Arial" w:hAnsi="Arial" w:cs="Arial"/>
          <w:bCs/>
          <w:sz w:val="22"/>
          <w:szCs w:val="22"/>
        </w:rPr>
        <w:t>vulnerabilidad, lo que equivale a un 32% del total de la población potencialmente</w:t>
      </w:r>
      <w:r>
        <w:rPr>
          <w:rFonts w:ascii="Arial" w:hAnsi="Arial" w:cs="Arial"/>
          <w:bCs/>
          <w:sz w:val="22"/>
          <w:szCs w:val="22"/>
        </w:rPr>
        <w:t xml:space="preserve"> </w:t>
      </w:r>
      <w:r w:rsidRPr="005F1A22">
        <w:rPr>
          <w:rFonts w:ascii="Arial" w:hAnsi="Arial" w:cs="Arial"/>
          <w:bCs/>
          <w:sz w:val="22"/>
          <w:szCs w:val="22"/>
        </w:rPr>
        <w:t>beneficiaria identificada en 2021 a través de la base maestra de la Estrategia Integral de</w:t>
      </w:r>
      <w:r>
        <w:rPr>
          <w:rFonts w:ascii="Arial" w:hAnsi="Arial" w:cs="Arial"/>
          <w:bCs/>
          <w:sz w:val="22"/>
          <w:szCs w:val="22"/>
        </w:rPr>
        <w:t xml:space="preserve"> </w:t>
      </w:r>
      <w:r w:rsidRPr="005F1A22">
        <w:rPr>
          <w:rFonts w:ascii="Arial" w:hAnsi="Arial" w:cs="Arial"/>
          <w:bCs/>
          <w:sz w:val="22"/>
          <w:szCs w:val="22"/>
        </w:rPr>
        <w:t>IMG.</w:t>
      </w:r>
    </w:p>
    <w:p w14:paraId="05AF5FBA" w14:textId="77777777" w:rsidR="00612389" w:rsidRDefault="00612389" w:rsidP="00612389">
      <w:pPr>
        <w:jc w:val="both"/>
        <w:rPr>
          <w:rFonts w:ascii="Arial" w:hAnsi="Arial" w:cs="Arial"/>
          <w:bCs/>
          <w:sz w:val="22"/>
          <w:szCs w:val="22"/>
        </w:rPr>
      </w:pPr>
    </w:p>
    <w:p w14:paraId="33F81992" w14:textId="77777777" w:rsidR="00612389" w:rsidRDefault="00612389" w:rsidP="00612389">
      <w:pPr>
        <w:jc w:val="both"/>
        <w:rPr>
          <w:rFonts w:ascii="Arial" w:hAnsi="Arial" w:cs="Arial"/>
          <w:bCs/>
          <w:sz w:val="22"/>
          <w:szCs w:val="22"/>
        </w:rPr>
      </w:pPr>
      <w:r>
        <w:rPr>
          <w:rFonts w:ascii="Arial" w:hAnsi="Arial" w:cs="Arial"/>
          <w:bCs/>
          <w:sz w:val="22"/>
          <w:szCs w:val="22"/>
        </w:rPr>
        <w:lastRenderedPageBreak/>
        <w:t>En este contexto, se evidencia la necesidad inicial del servicio presentada por la Tesorería</w:t>
      </w:r>
      <w:r w:rsidRPr="007651D6">
        <w:rPr>
          <w:rFonts w:ascii="Arial" w:hAnsi="Arial" w:cs="Arial"/>
          <w:bCs/>
          <w:sz w:val="22"/>
          <w:szCs w:val="22"/>
        </w:rPr>
        <w:t xml:space="preserve"> </w:t>
      </w:r>
      <w:r>
        <w:rPr>
          <w:rFonts w:ascii="Arial" w:hAnsi="Arial" w:cs="Arial"/>
          <w:bCs/>
          <w:sz w:val="22"/>
          <w:szCs w:val="22"/>
        </w:rPr>
        <w:t>de contar con</w:t>
      </w:r>
      <w:r w:rsidRPr="0038149C">
        <w:rPr>
          <w:rFonts w:ascii="Arial" w:hAnsi="Arial" w:cs="Arial"/>
          <w:bCs/>
          <w:sz w:val="22"/>
          <w:szCs w:val="22"/>
        </w:rPr>
        <w:t xml:space="preserve"> seis (6) operadores </w:t>
      </w:r>
      <w:r>
        <w:rPr>
          <w:rFonts w:ascii="Arial" w:hAnsi="Arial" w:cs="Arial"/>
          <w:bCs/>
          <w:sz w:val="22"/>
          <w:szCs w:val="22"/>
        </w:rPr>
        <w:t xml:space="preserve">financieros </w:t>
      </w:r>
      <w:r w:rsidRPr="0038149C">
        <w:rPr>
          <w:rFonts w:ascii="Arial" w:hAnsi="Arial" w:cs="Arial"/>
          <w:bCs/>
          <w:sz w:val="22"/>
          <w:szCs w:val="22"/>
        </w:rPr>
        <w:t xml:space="preserve">que pudieran </w:t>
      </w:r>
      <w:r>
        <w:rPr>
          <w:rFonts w:ascii="Arial" w:hAnsi="Arial" w:cs="Arial"/>
          <w:bCs/>
          <w:sz w:val="22"/>
          <w:szCs w:val="22"/>
        </w:rPr>
        <w:t>efectuar las dispersiones monetarias y giros de</w:t>
      </w:r>
      <w:r w:rsidRPr="0038149C">
        <w:rPr>
          <w:rFonts w:ascii="Arial" w:hAnsi="Arial" w:cs="Arial"/>
          <w:bCs/>
          <w:sz w:val="22"/>
          <w:szCs w:val="22"/>
        </w:rPr>
        <w:t xml:space="preserve"> la estrategia IMG</w:t>
      </w:r>
      <w:r>
        <w:rPr>
          <w:rFonts w:ascii="Arial" w:hAnsi="Arial" w:cs="Arial"/>
          <w:bCs/>
          <w:sz w:val="22"/>
          <w:szCs w:val="22"/>
        </w:rPr>
        <w:t xml:space="preserve">. </w:t>
      </w:r>
    </w:p>
    <w:p w14:paraId="4FF9B5F4" w14:textId="77777777" w:rsidR="00612389" w:rsidRDefault="00612389" w:rsidP="00612389">
      <w:pPr>
        <w:jc w:val="both"/>
        <w:rPr>
          <w:rFonts w:ascii="Arial" w:hAnsi="Arial" w:cs="Arial"/>
          <w:bCs/>
          <w:sz w:val="22"/>
          <w:szCs w:val="22"/>
        </w:rPr>
      </w:pPr>
    </w:p>
    <w:p w14:paraId="39C62928" w14:textId="77777777" w:rsidR="00612389" w:rsidRDefault="00612389" w:rsidP="00612389">
      <w:pPr>
        <w:jc w:val="both"/>
        <w:rPr>
          <w:rFonts w:ascii="Arial" w:hAnsi="Arial" w:cs="Arial"/>
          <w:bCs/>
          <w:sz w:val="22"/>
          <w:szCs w:val="22"/>
        </w:rPr>
      </w:pPr>
      <w:r>
        <w:rPr>
          <w:rFonts w:ascii="Arial" w:hAnsi="Arial" w:cs="Arial"/>
          <w:bCs/>
          <w:sz w:val="22"/>
          <w:szCs w:val="22"/>
        </w:rPr>
        <w:t>Por estas razones, se hace necesario no sólo mantener los tres operadores actuales, sino iniciar un proceso de selección que permita contar con los seis operadores inicialmente requeridos.</w:t>
      </w:r>
    </w:p>
    <w:p w14:paraId="0225C35E" w14:textId="77777777" w:rsidR="00612389" w:rsidRDefault="00612389" w:rsidP="00612389">
      <w:pPr>
        <w:jc w:val="both"/>
        <w:rPr>
          <w:rFonts w:ascii="Arial" w:hAnsi="Arial" w:cs="Arial"/>
          <w:bCs/>
          <w:sz w:val="22"/>
          <w:szCs w:val="22"/>
        </w:rPr>
      </w:pPr>
    </w:p>
    <w:p w14:paraId="7DC4ACD6" w14:textId="77777777" w:rsidR="00612389" w:rsidRPr="00417EDE" w:rsidRDefault="00612389" w:rsidP="00612389">
      <w:pPr>
        <w:jc w:val="both"/>
        <w:rPr>
          <w:rFonts w:ascii="Arial" w:hAnsi="Arial" w:cs="Arial"/>
          <w:b/>
          <w:sz w:val="22"/>
          <w:szCs w:val="22"/>
        </w:rPr>
      </w:pPr>
    </w:p>
    <w:p w14:paraId="7D2776B7" w14:textId="77777777" w:rsidR="00612389" w:rsidRPr="00417EDE" w:rsidRDefault="00612389" w:rsidP="00612389">
      <w:pPr>
        <w:pStyle w:val="Prrafodelista"/>
        <w:numPr>
          <w:ilvl w:val="0"/>
          <w:numId w:val="3"/>
        </w:numPr>
        <w:ind w:left="567" w:hanging="491"/>
        <w:jc w:val="both"/>
        <w:rPr>
          <w:rFonts w:ascii="Arial" w:hAnsi="Arial" w:cs="Arial"/>
          <w:b/>
          <w:sz w:val="22"/>
          <w:szCs w:val="22"/>
        </w:rPr>
      </w:pPr>
      <w:r>
        <w:rPr>
          <w:rFonts w:ascii="Arial" w:hAnsi="Arial" w:cs="Arial"/>
          <w:b/>
          <w:sz w:val="22"/>
          <w:szCs w:val="22"/>
        </w:rPr>
        <w:t>Mantener los servicios del tercer operador</w:t>
      </w:r>
    </w:p>
    <w:p w14:paraId="6E024DAD" w14:textId="77777777" w:rsidR="00612389" w:rsidRDefault="00612389" w:rsidP="00612389">
      <w:pPr>
        <w:jc w:val="both"/>
        <w:rPr>
          <w:rFonts w:ascii="Arial" w:hAnsi="Arial" w:cs="Arial"/>
          <w:b/>
          <w:sz w:val="22"/>
          <w:szCs w:val="22"/>
        </w:rPr>
      </w:pPr>
    </w:p>
    <w:p w14:paraId="696AE825" w14:textId="77777777" w:rsidR="00612389" w:rsidRDefault="00612389" w:rsidP="00612389">
      <w:pPr>
        <w:jc w:val="both"/>
        <w:rPr>
          <w:rFonts w:ascii="Arial" w:hAnsi="Arial" w:cs="Arial"/>
          <w:sz w:val="22"/>
          <w:szCs w:val="22"/>
        </w:rPr>
      </w:pPr>
      <w:proofErr w:type="spellStart"/>
      <w:r>
        <w:rPr>
          <w:rFonts w:ascii="Arial" w:hAnsi="Arial" w:cs="Arial"/>
          <w:sz w:val="22"/>
          <w:szCs w:val="22"/>
        </w:rPr>
        <w:t>Existiéndo</w:t>
      </w:r>
      <w:proofErr w:type="spellEnd"/>
      <w:r>
        <w:rPr>
          <w:rFonts w:ascii="Arial" w:hAnsi="Arial" w:cs="Arial"/>
          <w:sz w:val="22"/>
          <w:szCs w:val="22"/>
        </w:rPr>
        <w:t xml:space="preserve"> la necesidad del servicio, se deben observar las alternativas previstas en el contrato acordes con las normas que lo regulan.</w:t>
      </w:r>
    </w:p>
    <w:p w14:paraId="4558CED9" w14:textId="77777777" w:rsidR="00612389" w:rsidRDefault="00612389" w:rsidP="00612389">
      <w:pPr>
        <w:jc w:val="both"/>
        <w:rPr>
          <w:rFonts w:ascii="Arial" w:hAnsi="Arial" w:cs="Arial"/>
          <w:sz w:val="22"/>
          <w:szCs w:val="22"/>
        </w:rPr>
      </w:pPr>
    </w:p>
    <w:p w14:paraId="7B043AE3" w14:textId="77777777" w:rsidR="00612389" w:rsidRDefault="00612389" w:rsidP="00612389">
      <w:pPr>
        <w:jc w:val="both"/>
        <w:rPr>
          <w:rFonts w:ascii="Arial" w:hAnsi="Arial" w:cs="Arial"/>
          <w:sz w:val="22"/>
          <w:szCs w:val="22"/>
        </w:rPr>
      </w:pPr>
      <w:r>
        <w:rPr>
          <w:rFonts w:ascii="Arial" w:hAnsi="Arial" w:cs="Arial"/>
          <w:sz w:val="22"/>
          <w:szCs w:val="22"/>
        </w:rPr>
        <w:t>Lo primero que se observa en el contrato, es que se estableció que podría prorrogarse por acuerdo entre las partes, según las necesidades de la entidad y la vigencia de la estrategia IMG. No obstante, al preverse su remuneración en dinero, existe un límite legal para la adición</w:t>
      </w:r>
      <w:r>
        <w:rPr>
          <w:rStyle w:val="Refdenotaalpie"/>
          <w:rFonts w:ascii="Arial" w:hAnsi="Arial" w:cs="Arial"/>
          <w:sz w:val="22"/>
          <w:szCs w:val="22"/>
        </w:rPr>
        <w:footnoteReference w:id="1"/>
      </w:r>
      <w:r>
        <w:rPr>
          <w:rFonts w:ascii="Arial" w:hAnsi="Arial" w:cs="Arial"/>
          <w:sz w:val="22"/>
          <w:szCs w:val="22"/>
        </w:rPr>
        <w:t xml:space="preserve"> fijado en el 50% del valor inicial del contrato.</w:t>
      </w:r>
    </w:p>
    <w:p w14:paraId="6C54116B" w14:textId="77777777" w:rsidR="00612389" w:rsidRDefault="00612389" w:rsidP="00612389">
      <w:pPr>
        <w:jc w:val="both"/>
        <w:rPr>
          <w:rFonts w:ascii="Arial" w:hAnsi="Arial" w:cs="Arial"/>
          <w:sz w:val="22"/>
          <w:szCs w:val="22"/>
        </w:rPr>
      </w:pPr>
    </w:p>
    <w:p w14:paraId="702D38EB" w14:textId="77777777" w:rsidR="00612389" w:rsidRDefault="00612389" w:rsidP="00612389">
      <w:pPr>
        <w:jc w:val="both"/>
        <w:rPr>
          <w:rFonts w:ascii="Arial" w:hAnsi="Arial" w:cs="Arial"/>
          <w:sz w:val="22"/>
          <w:szCs w:val="22"/>
        </w:rPr>
      </w:pPr>
      <w:r>
        <w:rPr>
          <w:rFonts w:ascii="Arial" w:hAnsi="Arial" w:cs="Arial"/>
          <w:sz w:val="22"/>
          <w:szCs w:val="22"/>
        </w:rPr>
        <w:t>En el caso que nos ocupa, ya se realizó la adición hasta por el 50% del valor del contrato, y el contrato sigue vigente en su plazo de ejecución.</w:t>
      </w:r>
    </w:p>
    <w:p w14:paraId="11ED83BD" w14:textId="77777777" w:rsidR="00612389" w:rsidRDefault="00612389" w:rsidP="00612389">
      <w:pPr>
        <w:jc w:val="both"/>
        <w:rPr>
          <w:rFonts w:ascii="Arial" w:hAnsi="Arial" w:cs="Arial"/>
          <w:sz w:val="22"/>
          <w:szCs w:val="22"/>
        </w:rPr>
      </w:pPr>
    </w:p>
    <w:p w14:paraId="5FE3A095" w14:textId="77777777" w:rsidR="00612389" w:rsidRDefault="00612389" w:rsidP="00612389">
      <w:pPr>
        <w:jc w:val="both"/>
        <w:rPr>
          <w:rFonts w:ascii="Arial" w:hAnsi="Arial" w:cs="Arial"/>
          <w:sz w:val="22"/>
          <w:szCs w:val="22"/>
        </w:rPr>
      </w:pPr>
      <w:r>
        <w:rPr>
          <w:rFonts w:ascii="Arial" w:hAnsi="Arial" w:cs="Arial"/>
          <w:sz w:val="22"/>
          <w:szCs w:val="22"/>
        </w:rPr>
        <w:t>Para mantener el servicio del tercer operador, se tendría que suscribir un nuevo contrato al cual se le asignen los recursos según la proyección de los servicios a pagar, sin utilizar el mecanismo de selección de que trata la Resolución SDH 601 de 2021, puesto que este operador ya fue seleccionado, ni el mecanismo de prórroga automática con convalidación que preveía la Resolución SDH 428 de 2016, en tanto que se suscribiría un nuevo contrato con un operador previamente seleccionado, por necesidad del servicio debidamente soportada por el área de origen.</w:t>
      </w:r>
    </w:p>
    <w:p w14:paraId="3A945370" w14:textId="77777777" w:rsidR="00612389" w:rsidRDefault="00612389" w:rsidP="00612389">
      <w:pPr>
        <w:jc w:val="both"/>
        <w:rPr>
          <w:rFonts w:ascii="Arial" w:hAnsi="Arial" w:cs="Arial"/>
          <w:sz w:val="22"/>
          <w:szCs w:val="22"/>
        </w:rPr>
      </w:pPr>
    </w:p>
    <w:p w14:paraId="6751CB53" w14:textId="77777777" w:rsidR="00612389" w:rsidRPr="00E830B4" w:rsidRDefault="00612389" w:rsidP="00612389">
      <w:pPr>
        <w:jc w:val="both"/>
        <w:rPr>
          <w:rFonts w:ascii="Arial" w:hAnsi="Arial" w:cs="Arial"/>
          <w:sz w:val="22"/>
          <w:szCs w:val="22"/>
        </w:rPr>
      </w:pPr>
      <w:r>
        <w:rPr>
          <w:rFonts w:ascii="Arial" w:hAnsi="Arial" w:cs="Arial"/>
          <w:sz w:val="22"/>
          <w:szCs w:val="22"/>
        </w:rPr>
        <w:t>Si el contrato inicial sigue vigente, deberá armonizarse su terminación con el inicio del nuevo.</w:t>
      </w:r>
    </w:p>
    <w:p w14:paraId="47F20E9C" w14:textId="77777777" w:rsidR="00612389" w:rsidRDefault="00612389" w:rsidP="00612389">
      <w:pPr>
        <w:shd w:val="clear" w:color="auto" w:fill="FFFFFF"/>
        <w:jc w:val="both"/>
        <w:rPr>
          <w:rFonts w:ascii="Arial" w:hAnsi="Arial" w:cs="Arial"/>
          <w:b/>
          <w:sz w:val="22"/>
          <w:szCs w:val="22"/>
        </w:rPr>
      </w:pPr>
    </w:p>
    <w:p w14:paraId="2C27603F" w14:textId="77777777" w:rsidR="00612389" w:rsidRPr="00C620DF" w:rsidRDefault="00612389" w:rsidP="00612389">
      <w:pPr>
        <w:shd w:val="clear" w:color="auto" w:fill="FFFFFF"/>
        <w:jc w:val="both"/>
        <w:rPr>
          <w:rFonts w:ascii="Arial" w:hAnsi="Arial" w:cs="Arial"/>
          <w:b/>
          <w:sz w:val="22"/>
          <w:szCs w:val="22"/>
        </w:rPr>
      </w:pPr>
    </w:p>
    <w:p w14:paraId="7DA4281A" w14:textId="77777777" w:rsidR="00612389" w:rsidRPr="00C620DF" w:rsidRDefault="00612389" w:rsidP="00612389">
      <w:pPr>
        <w:shd w:val="clear" w:color="auto" w:fill="FFFFFF"/>
        <w:jc w:val="both"/>
        <w:rPr>
          <w:rFonts w:ascii="Arial" w:hAnsi="Arial" w:cs="Arial"/>
          <w:b/>
          <w:sz w:val="22"/>
          <w:szCs w:val="22"/>
        </w:rPr>
      </w:pPr>
      <w:r w:rsidRPr="00C620DF">
        <w:rPr>
          <w:rFonts w:ascii="Arial" w:hAnsi="Arial" w:cs="Arial"/>
          <w:b/>
          <w:sz w:val="22"/>
          <w:szCs w:val="22"/>
        </w:rPr>
        <w:t>CONCLUSIONES</w:t>
      </w:r>
    </w:p>
    <w:p w14:paraId="1DA357C5" w14:textId="77777777" w:rsidR="00612389" w:rsidRPr="00C620DF" w:rsidRDefault="00612389" w:rsidP="00612389">
      <w:pPr>
        <w:shd w:val="clear" w:color="auto" w:fill="FFFFFF"/>
        <w:jc w:val="both"/>
        <w:rPr>
          <w:rFonts w:ascii="Arial" w:hAnsi="Arial" w:cs="Arial"/>
          <w:bCs/>
          <w:sz w:val="22"/>
          <w:szCs w:val="22"/>
        </w:rPr>
      </w:pPr>
    </w:p>
    <w:p w14:paraId="1E6AF0D1" w14:textId="77777777" w:rsidR="00612389" w:rsidRPr="00F36A61" w:rsidRDefault="00612389" w:rsidP="00612389">
      <w:pPr>
        <w:jc w:val="both"/>
        <w:rPr>
          <w:rFonts w:ascii="Arial" w:hAnsi="Arial" w:cs="Arial"/>
          <w:sz w:val="22"/>
          <w:szCs w:val="22"/>
          <w:lang w:val="es-ES"/>
        </w:rPr>
      </w:pPr>
      <w:r>
        <w:rPr>
          <w:rFonts w:ascii="Arial" w:hAnsi="Arial" w:cs="Arial"/>
          <w:sz w:val="22"/>
          <w:szCs w:val="22"/>
          <w:lang w:eastAsia="es-CO"/>
        </w:rPr>
        <w:t>Como resultado d</w:t>
      </w:r>
      <w:r w:rsidRPr="00C620DF">
        <w:rPr>
          <w:rFonts w:ascii="Arial" w:hAnsi="Arial" w:cs="Arial"/>
          <w:sz w:val="22"/>
          <w:szCs w:val="22"/>
          <w:lang w:eastAsia="es-CO"/>
        </w:rPr>
        <w:t xml:space="preserve">el análisis </w:t>
      </w:r>
      <w:r>
        <w:rPr>
          <w:rFonts w:ascii="Arial" w:hAnsi="Arial" w:cs="Arial"/>
          <w:sz w:val="22"/>
          <w:szCs w:val="22"/>
          <w:lang w:eastAsia="es-CO"/>
        </w:rPr>
        <w:t>expuesto</w:t>
      </w:r>
      <w:r w:rsidRPr="00C620DF">
        <w:rPr>
          <w:rFonts w:ascii="Arial" w:hAnsi="Arial" w:cs="Arial"/>
          <w:sz w:val="22"/>
          <w:szCs w:val="22"/>
          <w:lang w:eastAsia="es-CO"/>
        </w:rPr>
        <w:t>, se procede a responder los interrogantes formulados:</w:t>
      </w:r>
    </w:p>
    <w:p w14:paraId="07A54A03" w14:textId="77777777" w:rsidR="00612389" w:rsidRDefault="00612389" w:rsidP="00612389">
      <w:pPr>
        <w:pStyle w:val="Prrafodelista"/>
        <w:ind w:left="142"/>
        <w:jc w:val="both"/>
        <w:rPr>
          <w:rFonts w:ascii="Arial" w:hAnsi="Arial" w:cs="Arial"/>
          <w:bCs/>
          <w:i/>
          <w:sz w:val="22"/>
          <w:szCs w:val="22"/>
        </w:rPr>
      </w:pPr>
    </w:p>
    <w:p w14:paraId="6B14FE86" w14:textId="77777777" w:rsidR="00612389" w:rsidRDefault="00612389" w:rsidP="00612389">
      <w:pPr>
        <w:ind w:left="708"/>
        <w:jc w:val="both"/>
        <w:rPr>
          <w:rFonts w:ascii="Arial" w:hAnsi="Arial" w:cs="Arial"/>
          <w:bCs/>
          <w:i/>
          <w:sz w:val="22"/>
          <w:szCs w:val="22"/>
        </w:rPr>
      </w:pPr>
      <w:r w:rsidRPr="00E830B4">
        <w:rPr>
          <w:rFonts w:ascii="Arial" w:hAnsi="Arial" w:cs="Arial"/>
          <w:bCs/>
          <w:i/>
          <w:sz w:val="22"/>
          <w:szCs w:val="22"/>
        </w:rPr>
        <w:t>¿Qué mecanismo podría usar la Dirección Distrital de Tesorería de la Secretaría</w:t>
      </w:r>
      <w:r>
        <w:rPr>
          <w:rFonts w:ascii="Arial" w:hAnsi="Arial" w:cs="Arial"/>
          <w:bCs/>
          <w:i/>
          <w:sz w:val="22"/>
          <w:szCs w:val="22"/>
        </w:rPr>
        <w:t xml:space="preserve"> </w:t>
      </w:r>
      <w:r w:rsidRPr="00E830B4">
        <w:rPr>
          <w:rFonts w:ascii="Arial" w:hAnsi="Arial" w:cs="Arial"/>
          <w:bCs/>
          <w:i/>
          <w:sz w:val="22"/>
          <w:szCs w:val="22"/>
        </w:rPr>
        <w:t xml:space="preserve">Distrital de Hacienda para poder continuar con la participación de </w:t>
      </w:r>
      <w:proofErr w:type="spellStart"/>
      <w:r w:rsidRPr="00E830B4">
        <w:rPr>
          <w:rFonts w:ascii="Arial" w:hAnsi="Arial" w:cs="Arial"/>
          <w:bCs/>
          <w:i/>
          <w:sz w:val="22"/>
          <w:szCs w:val="22"/>
        </w:rPr>
        <w:t>Movii</w:t>
      </w:r>
      <w:proofErr w:type="spellEnd"/>
      <w:r w:rsidRPr="00E830B4">
        <w:rPr>
          <w:rFonts w:ascii="Arial" w:hAnsi="Arial" w:cs="Arial"/>
          <w:bCs/>
          <w:i/>
          <w:sz w:val="22"/>
          <w:szCs w:val="22"/>
        </w:rPr>
        <w:t xml:space="preserve"> en la</w:t>
      </w:r>
      <w:r>
        <w:rPr>
          <w:rFonts w:ascii="Arial" w:hAnsi="Arial" w:cs="Arial"/>
          <w:bCs/>
          <w:i/>
          <w:sz w:val="22"/>
          <w:szCs w:val="22"/>
        </w:rPr>
        <w:t xml:space="preserve"> </w:t>
      </w:r>
      <w:r w:rsidRPr="00E830B4">
        <w:rPr>
          <w:rFonts w:ascii="Arial" w:hAnsi="Arial" w:cs="Arial"/>
          <w:bCs/>
          <w:i/>
          <w:sz w:val="22"/>
          <w:szCs w:val="22"/>
        </w:rPr>
        <w:t>prestación del servicio de dispersión y giro de transferencias monetarias a favor</w:t>
      </w:r>
      <w:r>
        <w:rPr>
          <w:rFonts w:ascii="Arial" w:hAnsi="Arial" w:cs="Arial"/>
          <w:bCs/>
          <w:i/>
          <w:sz w:val="22"/>
          <w:szCs w:val="22"/>
        </w:rPr>
        <w:t xml:space="preserve"> </w:t>
      </w:r>
      <w:r w:rsidRPr="00E830B4">
        <w:rPr>
          <w:rFonts w:ascii="Arial" w:hAnsi="Arial" w:cs="Arial"/>
          <w:bCs/>
          <w:i/>
          <w:sz w:val="22"/>
          <w:szCs w:val="22"/>
        </w:rPr>
        <w:t>de la población beneficiaria de IMG, teniendo en cuenta que el convenio suscrito</w:t>
      </w:r>
      <w:r>
        <w:rPr>
          <w:rFonts w:ascii="Arial" w:hAnsi="Arial" w:cs="Arial"/>
          <w:bCs/>
          <w:i/>
          <w:sz w:val="22"/>
          <w:szCs w:val="22"/>
        </w:rPr>
        <w:t xml:space="preserve"> </w:t>
      </w:r>
      <w:r w:rsidRPr="00E830B4">
        <w:rPr>
          <w:rFonts w:ascii="Arial" w:hAnsi="Arial" w:cs="Arial"/>
          <w:bCs/>
          <w:i/>
          <w:sz w:val="22"/>
          <w:szCs w:val="22"/>
        </w:rPr>
        <w:t>el 16 de abril de 2021 ya no cuenta con respaldo presupuestal, pues incluso con</w:t>
      </w:r>
      <w:r>
        <w:rPr>
          <w:rFonts w:ascii="Arial" w:hAnsi="Arial" w:cs="Arial"/>
          <w:bCs/>
          <w:i/>
          <w:sz w:val="22"/>
          <w:szCs w:val="22"/>
        </w:rPr>
        <w:t xml:space="preserve"> </w:t>
      </w:r>
      <w:r w:rsidRPr="00E830B4">
        <w:rPr>
          <w:rFonts w:ascii="Arial" w:hAnsi="Arial" w:cs="Arial"/>
          <w:bCs/>
          <w:i/>
          <w:sz w:val="22"/>
          <w:szCs w:val="22"/>
        </w:rPr>
        <w:t>la adición que se espera hacer, solo se alcanzaría a pagar parcialmente lo</w:t>
      </w:r>
      <w:r>
        <w:rPr>
          <w:rFonts w:ascii="Arial" w:hAnsi="Arial" w:cs="Arial"/>
          <w:bCs/>
          <w:i/>
          <w:sz w:val="22"/>
          <w:szCs w:val="22"/>
        </w:rPr>
        <w:t xml:space="preserve"> </w:t>
      </w:r>
      <w:r w:rsidRPr="00E830B4">
        <w:rPr>
          <w:rFonts w:ascii="Arial" w:hAnsi="Arial" w:cs="Arial"/>
          <w:bCs/>
          <w:i/>
          <w:sz w:val="22"/>
          <w:szCs w:val="22"/>
        </w:rPr>
        <w:t xml:space="preserve">correspondiente a </w:t>
      </w:r>
      <w:r w:rsidRPr="00E830B4">
        <w:rPr>
          <w:rFonts w:ascii="Arial" w:hAnsi="Arial" w:cs="Arial"/>
          <w:bCs/>
          <w:i/>
          <w:sz w:val="22"/>
          <w:szCs w:val="22"/>
        </w:rPr>
        <w:lastRenderedPageBreak/>
        <w:t>las comisiones del mes de diciembre de 2021 y se requiere</w:t>
      </w:r>
      <w:r>
        <w:rPr>
          <w:rFonts w:ascii="Arial" w:hAnsi="Arial" w:cs="Arial"/>
          <w:bCs/>
          <w:i/>
          <w:sz w:val="22"/>
          <w:szCs w:val="22"/>
        </w:rPr>
        <w:t xml:space="preserve"> </w:t>
      </w:r>
      <w:r w:rsidRPr="00E830B4">
        <w:rPr>
          <w:rFonts w:ascii="Arial" w:hAnsi="Arial" w:cs="Arial"/>
          <w:bCs/>
          <w:i/>
          <w:sz w:val="22"/>
          <w:szCs w:val="22"/>
        </w:rPr>
        <w:t xml:space="preserve">contar con los servicios de </w:t>
      </w:r>
      <w:proofErr w:type="spellStart"/>
      <w:r w:rsidRPr="00E830B4">
        <w:rPr>
          <w:rFonts w:ascii="Arial" w:hAnsi="Arial" w:cs="Arial"/>
          <w:bCs/>
          <w:i/>
          <w:sz w:val="22"/>
          <w:szCs w:val="22"/>
        </w:rPr>
        <w:t>Movii</w:t>
      </w:r>
      <w:proofErr w:type="spellEnd"/>
      <w:r w:rsidRPr="00E830B4">
        <w:rPr>
          <w:rFonts w:ascii="Arial" w:hAnsi="Arial" w:cs="Arial"/>
          <w:bCs/>
          <w:i/>
          <w:sz w:val="22"/>
          <w:szCs w:val="22"/>
        </w:rPr>
        <w:t xml:space="preserve"> por lo menos hasta marzo de 2022?</w:t>
      </w:r>
    </w:p>
    <w:p w14:paraId="1F7545AE" w14:textId="77777777" w:rsidR="00612389" w:rsidRDefault="00612389" w:rsidP="00612389">
      <w:pPr>
        <w:ind w:left="708"/>
        <w:jc w:val="both"/>
        <w:rPr>
          <w:rFonts w:ascii="Arial" w:hAnsi="Arial" w:cs="Arial"/>
          <w:bCs/>
          <w:i/>
          <w:sz w:val="22"/>
          <w:szCs w:val="22"/>
        </w:rPr>
      </w:pPr>
    </w:p>
    <w:p w14:paraId="70FEE65F" w14:textId="77777777" w:rsidR="00612389" w:rsidRPr="00E830B4" w:rsidRDefault="00612389" w:rsidP="00612389">
      <w:pPr>
        <w:jc w:val="both"/>
        <w:rPr>
          <w:rFonts w:ascii="Arial" w:hAnsi="Arial" w:cs="Arial"/>
          <w:bCs/>
          <w:sz w:val="22"/>
          <w:szCs w:val="22"/>
        </w:rPr>
      </w:pPr>
      <w:r>
        <w:rPr>
          <w:rFonts w:ascii="Arial" w:hAnsi="Arial" w:cs="Arial"/>
          <w:bCs/>
          <w:sz w:val="22"/>
          <w:szCs w:val="22"/>
        </w:rPr>
        <w:t>El mecanismo es la suscripción de un nuevo contrato con el tercer operador para mantener el servicio hasta tanto se realice la nueva selección con la adjudicación de los operadores, por la causal de necesidad del servicio, debidamente soportada por la o las áreas de origen.</w:t>
      </w:r>
    </w:p>
    <w:p w14:paraId="7DD8B342" w14:textId="77777777" w:rsidR="00612389" w:rsidRPr="00E830B4" w:rsidRDefault="00612389" w:rsidP="00612389">
      <w:pPr>
        <w:ind w:left="708"/>
        <w:jc w:val="both"/>
        <w:rPr>
          <w:rFonts w:ascii="Arial" w:hAnsi="Arial" w:cs="Arial"/>
          <w:bCs/>
          <w:i/>
          <w:sz w:val="22"/>
          <w:szCs w:val="22"/>
        </w:rPr>
      </w:pPr>
    </w:p>
    <w:p w14:paraId="7D61E8C7" w14:textId="77777777" w:rsidR="00612389" w:rsidRDefault="00612389" w:rsidP="00612389">
      <w:pPr>
        <w:ind w:left="708"/>
        <w:jc w:val="both"/>
        <w:rPr>
          <w:rFonts w:ascii="Arial" w:hAnsi="Arial" w:cs="Arial"/>
          <w:bCs/>
          <w:i/>
          <w:sz w:val="22"/>
          <w:szCs w:val="22"/>
        </w:rPr>
      </w:pPr>
      <w:r w:rsidRPr="00E830B4">
        <w:rPr>
          <w:rFonts w:ascii="Arial" w:hAnsi="Arial" w:cs="Arial"/>
          <w:bCs/>
          <w:i/>
          <w:sz w:val="22"/>
          <w:szCs w:val="22"/>
        </w:rPr>
        <w:t xml:space="preserve">Dado que actualmente se tiene vigente el convenio suscrito con </w:t>
      </w:r>
      <w:proofErr w:type="spellStart"/>
      <w:r w:rsidRPr="00E830B4">
        <w:rPr>
          <w:rFonts w:ascii="Arial" w:hAnsi="Arial" w:cs="Arial"/>
          <w:bCs/>
          <w:i/>
          <w:sz w:val="22"/>
          <w:szCs w:val="22"/>
        </w:rPr>
        <w:t>Movii</w:t>
      </w:r>
      <w:proofErr w:type="spellEnd"/>
      <w:r w:rsidRPr="00E830B4">
        <w:rPr>
          <w:rFonts w:ascii="Arial" w:hAnsi="Arial" w:cs="Arial"/>
          <w:bCs/>
          <w:i/>
          <w:sz w:val="22"/>
          <w:szCs w:val="22"/>
        </w:rPr>
        <w:t xml:space="preserve"> el 16 de abril</w:t>
      </w:r>
      <w:r>
        <w:rPr>
          <w:rFonts w:ascii="Arial" w:hAnsi="Arial" w:cs="Arial"/>
          <w:bCs/>
          <w:i/>
          <w:sz w:val="22"/>
          <w:szCs w:val="22"/>
        </w:rPr>
        <w:t xml:space="preserve"> </w:t>
      </w:r>
      <w:r w:rsidRPr="00E830B4">
        <w:rPr>
          <w:rFonts w:ascii="Arial" w:hAnsi="Arial" w:cs="Arial"/>
          <w:bCs/>
          <w:i/>
          <w:sz w:val="22"/>
          <w:szCs w:val="22"/>
        </w:rPr>
        <w:t>de 2021, en caso de que se pensara en la posibilidad de suscribir un nuevo</w:t>
      </w:r>
      <w:r>
        <w:rPr>
          <w:rFonts w:ascii="Arial" w:hAnsi="Arial" w:cs="Arial"/>
          <w:bCs/>
          <w:i/>
          <w:sz w:val="22"/>
          <w:szCs w:val="22"/>
        </w:rPr>
        <w:t xml:space="preserve"> </w:t>
      </w:r>
      <w:r w:rsidRPr="00E830B4">
        <w:rPr>
          <w:rFonts w:ascii="Arial" w:hAnsi="Arial" w:cs="Arial"/>
          <w:bCs/>
          <w:i/>
          <w:sz w:val="22"/>
          <w:szCs w:val="22"/>
        </w:rPr>
        <w:t xml:space="preserve">convenio con </w:t>
      </w:r>
      <w:proofErr w:type="spellStart"/>
      <w:r w:rsidRPr="00E830B4">
        <w:rPr>
          <w:rFonts w:ascii="Arial" w:hAnsi="Arial" w:cs="Arial"/>
          <w:bCs/>
          <w:i/>
          <w:sz w:val="22"/>
          <w:szCs w:val="22"/>
        </w:rPr>
        <w:t>Movii</w:t>
      </w:r>
      <w:proofErr w:type="spellEnd"/>
      <w:r w:rsidRPr="00E830B4">
        <w:rPr>
          <w:rFonts w:ascii="Arial" w:hAnsi="Arial" w:cs="Arial"/>
          <w:bCs/>
          <w:i/>
          <w:sz w:val="22"/>
          <w:szCs w:val="22"/>
        </w:rPr>
        <w:t xml:space="preserve"> ¿hay algún impedimento en tener en ejecución dos (2)</w:t>
      </w:r>
      <w:r>
        <w:rPr>
          <w:rFonts w:ascii="Arial" w:hAnsi="Arial" w:cs="Arial"/>
          <w:bCs/>
          <w:i/>
          <w:sz w:val="22"/>
          <w:szCs w:val="22"/>
        </w:rPr>
        <w:t xml:space="preserve"> </w:t>
      </w:r>
      <w:r w:rsidRPr="00E830B4">
        <w:rPr>
          <w:rFonts w:ascii="Arial" w:hAnsi="Arial" w:cs="Arial"/>
          <w:bCs/>
          <w:i/>
          <w:sz w:val="22"/>
          <w:szCs w:val="22"/>
        </w:rPr>
        <w:t>convenios diferentes con el mismo objeto y con el mismo operador (</w:t>
      </w:r>
      <w:proofErr w:type="spellStart"/>
      <w:r w:rsidRPr="00E830B4">
        <w:rPr>
          <w:rFonts w:ascii="Arial" w:hAnsi="Arial" w:cs="Arial"/>
          <w:bCs/>
          <w:i/>
          <w:sz w:val="22"/>
          <w:szCs w:val="22"/>
        </w:rPr>
        <w:t>Movii</w:t>
      </w:r>
      <w:proofErr w:type="spellEnd"/>
      <w:r w:rsidRPr="00E830B4">
        <w:rPr>
          <w:rFonts w:ascii="Arial" w:hAnsi="Arial" w:cs="Arial"/>
          <w:bCs/>
          <w:i/>
          <w:sz w:val="22"/>
          <w:szCs w:val="22"/>
        </w:rPr>
        <w:t>) durante</w:t>
      </w:r>
      <w:r>
        <w:rPr>
          <w:rFonts w:ascii="Arial" w:hAnsi="Arial" w:cs="Arial"/>
          <w:bCs/>
          <w:i/>
          <w:sz w:val="22"/>
          <w:szCs w:val="22"/>
        </w:rPr>
        <w:t xml:space="preserve"> </w:t>
      </w:r>
      <w:r w:rsidRPr="00E830B4">
        <w:rPr>
          <w:rFonts w:ascii="Arial" w:hAnsi="Arial" w:cs="Arial"/>
          <w:bCs/>
          <w:i/>
          <w:sz w:val="22"/>
          <w:szCs w:val="22"/>
        </w:rPr>
        <w:t xml:space="preserve">el mismo espacio de tiempo? </w:t>
      </w:r>
    </w:p>
    <w:p w14:paraId="302C1999" w14:textId="77777777" w:rsidR="00612389" w:rsidRPr="00C61008" w:rsidRDefault="00612389" w:rsidP="00612389">
      <w:pPr>
        <w:ind w:left="708"/>
        <w:jc w:val="both"/>
        <w:rPr>
          <w:rFonts w:ascii="Arial" w:hAnsi="Arial" w:cs="Arial"/>
          <w:bCs/>
          <w:i/>
          <w:sz w:val="22"/>
          <w:szCs w:val="22"/>
        </w:rPr>
      </w:pPr>
      <w:r w:rsidRPr="00E830B4">
        <w:rPr>
          <w:rFonts w:ascii="Arial" w:hAnsi="Arial" w:cs="Arial"/>
          <w:bCs/>
          <w:i/>
          <w:sz w:val="22"/>
          <w:szCs w:val="22"/>
        </w:rPr>
        <w:t>De ser afirmativa esta respuesta ¿Qué medidas</w:t>
      </w:r>
      <w:r>
        <w:rPr>
          <w:rFonts w:ascii="Arial" w:hAnsi="Arial" w:cs="Arial"/>
          <w:bCs/>
          <w:i/>
          <w:sz w:val="22"/>
          <w:szCs w:val="22"/>
        </w:rPr>
        <w:t xml:space="preserve"> </w:t>
      </w:r>
      <w:r w:rsidRPr="00E830B4">
        <w:rPr>
          <w:rFonts w:ascii="Arial" w:hAnsi="Arial" w:cs="Arial"/>
          <w:bCs/>
          <w:i/>
          <w:sz w:val="22"/>
          <w:szCs w:val="22"/>
        </w:rPr>
        <w:t>contractuales podría adoptar la Secretaría Distrital de Hacienda para evitar esta</w:t>
      </w:r>
      <w:r>
        <w:rPr>
          <w:rFonts w:ascii="Arial" w:hAnsi="Arial" w:cs="Arial"/>
          <w:bCs/>
          <w:i/>
          <w:sz w:val="22"/>
          <w:szCs w:val="22"/>
        </w:rPr>
        <w:t xml:space="preserve"> </w:t>
      </w:r>
      <w:r w:rsidRPr="00E830B4">
        <w:rPr>
          <w:rFonts w:ascii="Arial" w:hAnsi="Arial" w:cs="Arial"/>
          <w:bCs/>
          <w:i/>
          <w:sz w:val="22"/>
          <w:szCs w:val="22"/>
        </w:rPr>
        <w:t>concurrencia de objetos?</w:t>
      </w:r>
    </w:p>
    <w:p w14:paraId="26DECD70" w14:textId="77777777" w:rsidR="00612389" w:rsidRDefault="00612389" w:rsidP="00612389">
      <w:pPr>
        <w:ind w:left="708"/>
        <w:jc w:val="both"/>
        <w:rPr>
          <w:rFonts w:ascii="Arial" w:hAnsi="Arial" w:cs="Arial"/>
          <w:bCs/>
          <w:i/>
          <w:sz w:val="22"/>
          <w:szCs w:val="22"/>
        </w:rPr>
      </w:pPr>
    </w:p>
    <w:p w14:paraId="4C7C06C5" w14:textId="77777777" w:rsidR="00612389" w:rsidRPr="00E830B4" w:rsidRDefault="00612389" w:rsidP="00612389">
      <w:pPr>
        <w:jc w:val="both"/>
        <w:rPr>
          <w:rFonts w:ascii="Arial" w:hAnsi="Arial" w:cs="Arial"/>
          <w:bCs/>
          <w:sz w:val="22"/>
          <w:szCs w:val="22"/>
        </w:rPr>
      </w:pPr>
      <w:r>
        <w:rPr>
          <w:rFonts w:ascii="Arial" w:hAnsi="Arial" w:cs="Arial"/>
          <w:bCs/>
          <w:sz w:val="22"/>
          <w:szCs w:val="22"/>
        </w:rPr>
        <w:t>Para no tener dos contratos vigentes con el mismo objeto y el mismo operador, debe armonizarse la terminación del contrato vigente con la suscripción del nuevo contrato.</w:t>
      </w:r>
    </w:p>
    <w:p w14:paraId="4D1C9F8A" w14:textId="77777777" w:rsidR="00612389" w:rsidRDefault="00612389" w:rsidP="00612389">
      <w:pPr>
        <w:ind w:left="708"/>
        <w:jc w:val="both"/>
        <w:rPr>
          <w:rFonts w:ascii="Arial" w:hAnsi="Arial" w:cs="Arial"/>
          <w:bCs/>
          <w:i/>
          <w:sz w:val="22"/>
          <w:szCs w:val="22"/>
        </w:rPr>
      </w:pPr>
    </w:p>
    <w:p w14:paraId="5E214128" w14:textId="77777777" w:rsidR="00612389" w:rsidRPr="00E830B4" w:rsidRDefault="00612389" w:rsidP="00612389">
      <w:pPr>
        <w:jc w:val="both"/>
        <w:rPr>
          <w:rFonts w:ascii="Arial" w:hAnsi="Arial" w:cs="Arial"/>
          <w:sz w:val="22"/>
          <w:szCs w:val="22"/>
          <w:lang w:val="es-CO"/>
        </w:rPr>
      </w:pPr>
    </w:p>
    <w:p w14:paraId="3CCD7512" w14:textId="77777777" w:rsidR="00612389" w:rsidRPr="00C620DF" w:rsidRDefault="00612389" w:rsidP="00612389">
      <w:pPr>
        <w:jc w:val="both"/>
        <w:rPr>
          <w:rFonts w:ascii="Arial" w:hAnsi="Arial" w:cs="Arial"/>
          <w:sz w:val="22"/>
          <w:szCs w:val="22"/>
          <w:lang w:val="es-ES"/>
        </w:rPr>
      </w:pPr>
      <w:r w:rsidRPr="00C620DF">
        <w:rPr>
          <w:rFonts w:ascii="Arial" w:hAnsi="Arial" w:cs="Arial"/>
          <w:sz w:val="22"/>
          <w:szCs w:val="22"/>
          <w:lang w:val="es-ES"/>
        </w:rPr>
        <w:t>En procura de impulsar la política de mejoramiento continuo en el procedimiento de Asesoría Jurídica de la Secretaría Distrital de Hacienda, solicito verifique si el concepto emitido contribuyó a resolver de fondo el problema jurídico planteado. De no ser así, por favor informe de manera inmediata a la Dirección Jurídica.</w:t>
      </w:r>
    </w:p>
    <w:p w14:paraId="31110FB4" w14:textId="77777777" w:rsidR="00612389" w:rsidRPr="00C620DF" w:rsidRDefault="00612389" w:rsidP="00612389">
      <w:pPr>
        <w:jc w:val="both"/>
        <w:rPr>
          <w:rFonts w:ascii="Arial" w:hAnsi="Arial" w:cs="Arial"/>
          <w:bCs/>
          <w:sz w:val="22"/>
          <w:szCs w:val="22"/>
        </w:rPr>
      </w:pPr>
    </w:p>
    <w:p w14:paraId="76942FE6" w14:textId="77777777" w:rsidR="00612389" w:rsidRPr="00C620DF" w:rsidRDefault="00612389" w:rsidP="00612389">
      <w:pPr>
        <w:jc w:val="both"/>
        <w:rPr>
          <w:rFonts w:ascii="Arial" w:hAnsi="Arial" w:cs="Arial"/>
          <w:bCs/>
          <w:sz w:val="22"/>
          <w:szCs w:val="22"/>
        </w:rPr>
      </w:pPr>
    </w:p>
    <w:p w14:paraId="2DFE7DA5" w14:textId="77777777" w:rsidR="00612389" w:rsidRPr="00C620DF" w:rsidRDefault="00612389" w:rsidP="00612389">
      <w:pPr>
        <w:jc w:val="both"/>
        <w:rPr>
          <w:rFonts w:ascii="Arial" w:hAnsi="Arial" w:cs="Arial"/>
          <w:bCs/>
          <w:sz w:val="22"/>
          <w:szCs w:val="22"/>
        </w:rPr>
      </w:pPr>
      <w:r w:rsidRPr="00C620DF">
        <w:rPr>
          <w:rFonts w:ascii="Arial" w:hAnsi="Arial" w:cs="Arial"/>
          <w:bCs/>
          <w:sz w:val="22"/>
          <w:szCs w:val="22"/>
        </w:rPr>
        <w:t xml:space="preserve">Cordialmente, </w:t>
      </w:r>
    </w:p>
    <w:p w14:paraId="1726FCC9" w14:textId="77777777" w:rsidR="00612389" w:rsidRPr="00C620DF" w:rsidRDefault="00612389" w:rsidP="00612389">
      <w:pPr>
        <w:jc w:val="both"/>
        <w:rPr>
          <w:rFonts w:ascii="Arial" w:hAnsi="Arial" w:cs="Arial"/>
          <w:b/>
          <w:sz w:val="22"/>
          <w:szCs w:val="22"/>
        </w:rPr>
      </w:pPr>
    </w:p>
    <w:p w14:paraId="4DBC5654" w14:textId="77777777" w:rsidR="00612389" w:rsidRPr="00C620DF" w:rsidRDefault="00612389" w:rsidP="00612389">
      <w:pPr>
        <w:jc w:val="both"/>
        <w:rPr>
          <w:rFonts w:ascii="Arial" w:hAnsi="Arial" w:cs="Arial"/>
          <w:b/>
          <w:sz w:val="22"/>
          <w:szCs w:val="22"/>
        </w:rPr>
      </w:pPr>
    </w:p>
    <w:p w14:paraId="4D48ADE8" w14:textId="77777777" w:rsidR="00612389" w:rsidRPr="00C620DF" w:rsidRDefault="00612389" w:rsidP="00612389">
      <w:pPr>
        <w:jc w:val="both"/>
        <w:rPr>
          <w:rFonts w:ascii="Arial" w:hAnsi="Arial" w:cs="Arial"/>
          <w:b/>
          <w:sz w:val="22"/>
          <w:szCs w:val="22"/>
        </w:rPr>
      </w:pPr>
    </w:p>
    <w:p w14:paraId="78446B81" w14:textId="77777777" w:rsidR="00612389" w:rsidRPr="00C620DF" w:rsidRDefault="00612389" w:rsidP="00612389">
      <w:pPr>
        <w:contextualSpacing/>
        <w:jc w:val="both"/>
        <w:rPr>
          <w:rFonts w:ascii="Arial" w:hAnsi="Arial" w:cs="Arial"/>
          <w:b/>
          <w:sz w:val="22"/>
          <w:szCs w:val="22"/>
          <w:lang w:val="es-ES"/>
        </w:rPr>
      </w:pPr>
      <w:r w:rsidRPr="00C620DF">
        <w:rPr>
          <w:rFonts w:ascii="Arial" w:hAnsi="Arial" w:cs="Arial"/>
          <w:b/>
          <w:sz w:val="22"/>
          <w:szCs w:val="22"/>
          <w:lang w:val="es-ES"/>
        </w:rPr>
        <w:t>LEONARDO PAZOS GALINDO</w:t>
      </w:r>
    </w:p>
    <w:p w14:paraId="73DD25FA" w14:textId="77777777" w:rsidR="00612389" w:rsidRPr="00C620DF" w:rsidRDefault="00612389" w:rsidP="00612389">
      <w:pPr>
        <w:contextualSpacing/>
        <w:jc w:val="both"/>
        <w:rPr>
          <w:rFonts w:ascii="Arial" w:hAnsi="Arial" w:cs="Arial"/>
          <w:sz w:val="22"/>
          <w:szCs w:val="22"/>
          <w:lang w:val="es-ES"/>
        </w:rPr>
      </w:pPr>
      <w:r w:rsidRPr="00C620DF">
        <w:rPr>
          <w:rFonts w:ascii="Arial" w:hAnsi="Arial" w:cs="Arial"/>
          <w:sz w:val="22"/>
          <w:szCs w:val="22"/>
          <w:lang w:val="es-ES"/>
        </w:rPr>
        <w:t>Director Jurídico</w:t>
      </w:r>
    </w:p>
    <w:p w14:paraId="0606DA3D" w14:textId="77777777" w:rsidR="00612389" w:rsidRDefault="00777459" w:rsidP="00612389">
      <w:pPr>
        <w:rPr>
          <w:rFonts w:ascii="Arial" w:hAnsi="Arial" w:cs="Arial"/>
          <w:u w:val="single"/>
          <w:lang w:val="es-ES"/>
        </w:rPr>
      </w:pPr>
      <w:hyperlink r:id="rId11" w:history="1">
        <w:r w:rsidR="00612389" w:rsidRPr="00C15BB6">
          <w:rPr>
            <w:rStyle w:val="Hipervnculo"/>
            <w:rFonts w:ascii="Arial" w:hAnsi="Arial" w:cs="Arial"/>
            <w:lang w:val="es-ES"/>
          </w:rPr>
          <w:t>lpazos@shd.gov.co</w:t>
        </w:r>
      </w:hyperlink>
    </w:p>
    <w:p w14:paraId="4FEF17B9" w14:textId="77777777" w:rsidR="00612389" w:rsidRDefault="00612389" w:rsidP="00612389">
      <w:pPr>
        <w:rPr>
          <w:rFonts w:ascii="Arial" w:hAnsi="Arial" w:cs="Arial"/>
        </w:rPr>
      </w:pPr>
    </w:p>
    <w:p w14:paraId="226DEB93" w14:textId="77777777" w:rsidR="00612389" w:rsidRPr="008E56CB" w:rsidRDefault="00612389" w:rsidP="00612389">
      <w:pPr>
        <w:rPr>
          <w:rFonts w:ascii="Arial" w:hAnsi="Arial" w:cs="Arial"/>
        </w:rPr>
      </w:pPr>
    </w:p>
    <w:p w14:paraId="6DF3384C" w14:textId="77777777" w:rsidR="00612389" w:rsidRDefault="00612389" w:rsidP="00612389">
      <w:pPr>
        <w:rPr>
          <w:rFonts w:ascii="Arial" w:hAnsi="Arial" w:cs="Arial"/>
          <w:sz w:val="16"/>
          <w:szCs w:val="16"/>
        </w:rPr>
      </w:pPr>
      <w:r>
        <w:rPr>
          <w:rFonts w:ascii="Arial" w:hAnsi="Arial" w:cs="Arial"/>
          <w:sz w:val="16"/>
          <w:szCs w:val="16"/>
        </w:rPr>
        <w:t xml:space="preserve">                 </w:t>
      </w:r>
    </w:p>
    <w:p w14:paraId="26C3A9E8" w14:textId="77777777" w:rsidR="00612389" w:rsidRPr="00C620DF" w:rsidRDefault="00612389" w:rsidP="00612389">
      <w:pPr>
        <w:ind w:left="1418" w:hanging="1418"/>
        <w:rPr>
          <w:rFonts w:ascii="Arial" w:hAnsi="Arial" w:cs="Arial"/>
          <w:sz w:val="16"/>
          <w:szCs w:val="16"/>
        </w:rPr>
      </w:pPr>
      <w:r>
        <w:rPr>
          <w:rFonts w:ascii="Arial" w:hAnsi="Arial" w:cs="Arial"/>
          <w:sz w:val="16"/>
          <w:szCs w:val="16"/>
        </w:rPr>
        <w:t xml:space="preserve">Revisó y </w:t>
      </w:r>
      <w:r w:rsidRPr="00C620DF">
        <w:rPr>
          <w:rFonts w:ascii="Arial" w:hAnsi="Arial" w:cs="Arial"/>
          <w:sz w:val="16"/>
          <w:szCs w:val="16"/>
        </w:rPr>
        <w:t xml:space="preserve">Proyectó: </w:t>
      </w:r>
      <w:r w:rsidRPr="00C620DF">
        <w:rPr>
          <w:rFonts w:ascii="Arial" w:hAnsi="Arial" w:cs="Arial"/>
          <w:sz w:val="16"/>
          <w:szCs w:val="16"/>
        </w:rPr>
        <w:tab/>
        <w:t>Enny Yojana Lemus Trujillo.</w:t>
      </w:r>
    </w:p>
    <w:p w14:paraId="0EB60CBC" w14:textId="77777777" w:rsidR="000B09ED" w:rsidRDefault="000B09ED" w:rsidP="00616D7B">
      <w:pPr>
        <w:jc w:val="both"/>
        <w:rPr>
          <w:rFonts w:ascii="Arial" w:hAnsi="Arial" w:cs="Arial"/>
          <w:color w:val="0033CC"/>
          <w:sz w:val="16"/>
          <w:szCs w:val="16"/>
        </w:rPr>
      </w:pPr>
    </w:p>
    <w:p w14:paraId="78472A5B" w14:textId="67E9DF08" w:rsidR="00FA5EE7" w:rsidRDefault="00FA5EE7" w:rsidP="00FC3235">
      <w:pPr>
        <w:rPr>
          <w:rFonts w:ascii="Arial" w:hAnsi="Arial" w:cs="Arial"/>
          <w:sz w:val="16"/>
          <w:szCs w:val="16"/>
        </w:rPr>
      </w:pPr>
    </w:p>
    <w:p w14:paraId="121E16CB" w14:textId="275D17E7" w:rsidR="00683F0F" w:rsidRDefault="00683F0F" w:rsidP="00FC3235">
      <w:pPr>
        <w:rPr>
          <w:rFonts w:ascii="Arial" w:hAnsi="Arial" w:cs="Arial"/>
          <w:sz w:val="16"/>
          <w:szCs w:val="16"/>
        </w:rPr>
      </w:pPr>
    </w:p>
    <w:p w14:paraId="396ACE90" w14:textId="77777777" w:rsidR="00683F0F" w:rsidRPr="001821A1" w:rsidRDefault="00683F0F" w:rsidP="00FC3235">
      <w:pPr>
        <w:rPr>
          <w:rFonts w:ascii="Arial" w:hAnsi="Arial" w:cs="Arial"/>
          <w:sz w:val="16"/>
          <w:szCs w:val="16"/>
        </w:rPr>
      </w:pPr>
    </w:p>
    <w:sectPr w:rsidR="00683F0F" w:rsidRPr="001821A1" w:rsidSect="000D40E6">
      <w:headerReference w:type="default" r:id="rId12"/>
      <w:footerReference w:type="even" r:id="rId13"/>
      <w:footerReference w:type="default" r:id="rId14"/>
      <w:pgSz w:w="12240" w:h="15840"/>
      <w:pgMar w:top="1985" w:right="1701" w:bottom="1985" w:left="1701"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33F1C" w14:textId="77777777" w:rsidR="00777459" w:rsidRDefault="00777459">
      <w:r>
        <w:separator/>
      </w:r>
    </w:p>
  </w:endnote>
  <w:endnote w:type="continuationSeparator" w:id="0">
    <w:p w14:paraId="76B76DB0" w14:textId="77777777" w:rsidR="00777459" w:rsidRDefault="00777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72A61" w14:textId="77777777" w:rsidR="005B322D" w:rsidRDefault="005B322D">
    <w:pPr>
      <w:pStyle w:val="Piedepgina"/>
    </w:pPr>
  </w:p>
  <w:p w14:paraId="78472A62" w14:textId="77777777" w:rsidR="00FA5EE7" w:rsidRDefault="00DF75FF">
    <w:r>
      <w:rPr>
        <w:noProof/>
        <w:lang w:val="es-CO" w:eastAsia="es-CO"/>
      </w:rPr>
      <mc:AlternateContent>
        <mc:Choice Requires="wps">
          <w:drawing>
            <wp:anchor distT="0" distB="0" distL="114300" distR="114300" simplePos="0" relativeHeight="251655680" behindDoc="0" locked="0" layoutInCell="1" allowOverlap="1" wp14:anchorId="78472A67" wp14:editId="78472A68">
              <wp:simplePos x="0" y="0"/>
              <wp:positionH relativeFrom="column">
                <wp:posOffset>2181860</wp:posOffset>
              </wp:positionH>
              <wp:positionV relativeFrom="paragraph">
                <wp:posOffset>9441180</wp:posOffset>
              </wp:positionV>
              <wp:extent cx="3928110" cy="40894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8110" cy="408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472A71" w14:textId="77777777" w:rsidR="005B322D" w:rsidRPr="003533F0" w:rsidRDefault="005B322D" w:rsidP="005B322D">
                          <w:pPr>
                            <w:jc w:val="center"/>
                            <w:rPr>
                              <w:rFonts w:ascii="Arial" w:hAnsi="Arial" w:cs="Arial"/>
                              <w:b/>
                              <w:bCs/>
                              <w:sz w:val="15"/>
                              <w:szCs w:val="15"/>
                            </w:rPr>
                          </w:pPr>
                          <w:r w:rsidRPr="003533F0">
                            <w:rPr>
                              <w:rFonts w:ascii="Arial" w:hAnsi="Arial" w:cs="Arial"/>
                              <w:b/>
                              <w:bCs/>
                              <w:sz w:val="15"/>
                              <w:szCs w:val="15"/>
                            </w:rPr>
                            <w:t>Sede Administrativa CAD Carrera 30 No. 25-90</w:t>
                          </w:r>
                        </w:p>
                        <w:p w14:paraId="78472A72" w14:textId="77777777" w:rsidR="005B322D" w:rsidRPr="003533F0" w:rsidRDefault="005B322D" w:rsidP="005B322D">
                          <w:pPr>
                            <w:jc w:val="center"/>
                            <w:rPr>
                              <w:rFonts w:ascii="Arial" w:hAnsi="Arial" w:cs="Arial"/>
                              <w:b/>
                              <w:bCs/>
                              <w:sz w:val="15"/>
                              <w:szCs w:val="15"/>
                            </w:rPr>
                          </w:pPr>
                          <w:r w:rsidRPr="003533F0">
                            <w:rPr>
                              <w:rFonts w:ascii="Arial" w:hAnsi="Arial" w:cs="Arial"/>
                              <w:b/>
                              <w:bCs/>
                              <w:sz w:val="15"/>
                              <w:szCs w:val="15"/>
                            </w:rPr>
                            <w:t xml:space="preserve">Sede Dirección Distrital de Impuestos: Av. Calle 17 No. 65 B - 95 </w:t>
                          </w:r>
                        </w:p>
                        <w:p w14:paraId="78472A73" w14:textId="77777777" w:rsidR="005B322D" w:rsidRPr="003533F0" w:rsidRDefault="005B322D" w:rsidP="005B322D">
                          <w:pPr>
                            <w:jc w:val="center"/>
                            <w:rPr>
                              <w:rFonts w:ascii="Arial" w:hAnsi="Arial" w:cs="Arial"/>
                              <w:b/>
                              <w:bCs/>
                              <w:sz w:val="15"/>
                              <w:szCs w:val="15"/>
                            </w:rPr>
                          </w:pPr>
                          <w:r w:rsidRPr="003533F0">
                            <w:rPr>
                              <w:rFonts w:ascii="Arial" w:hAnsi="Arial" w:cs="Arial"/>
                              <w:b/>
                              <w:bCs/>
                              <w:sz w:val="15"/>
                              <w:szCs w:val="15"/>
                            </w:rPr>
                            <w:t xml:space="preserve">PBX 369 2700 - 338 5000 * </w:t>
                          </w:r>
                          <w:hyperlink r:id="rId1" w:history="1">
                            <w:r w:rsidRPr="003533F0">
                              <w:rPr>
                                <w:rStyle w:val="Hipervnculo"/>
                                <w:rFonts w:ascii="Arial" w:hAnsi="Arial" w:cs="Arial"/>
                                <w:b/>
                                <w:bCs/>
                                <w:sz w:val="15"/>
                                <w:szCs w:val="15"/>
                              </w:rPr>
                              <w:t>www.haciendabogota.gov.co</w:t>
                            </w:r>
                          </w:hyperlink>
                          <w:r w:rsidRPr="003533F0">
                            <w:rPr>
                              <w:rFonts w:ascii="Arial" w:hAnsi="Arial" w:cs="Arial"/>
                              <w:b/>
                              <w:bCs/>
                              <w:sz w:val="15"/>
                              <w:szCs w:val="15"/>
                            </w:rPr>
                            <w:t xml:space="preserve"> *  Información: Línea 195</w:t>
                          </w:r>
                        </w:p>
                        <w:p w14:paraId="78472A74" w14:textId="77777777" w:rsidR="005B322D" w:rsidRDefault="005B322D" w:rsidP="005B32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472A67" id="_x0000_t202" coordsize="21600,21600" o:spt="202" path="m,l,21600r21600,l21600,xe">
              <v:stroke joinstyle="miter"/>
              <v:path gradientshapeok="t" o:connecttype="rect"/>
            </v:shapetype>
            <v:shape id="Text Box 4" o:spid="_x0000_s1026" type="#_x0000_t202" style="position:absolute;margin-left:171.8pt;margin-top:743.4pt;width:309.3pt;height:32.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" filled="f" stroked="f">
              <v:textbox>
                <w:txbxContent>
                  <w:p w14:paraId="78472A71" w14:textId="77777777" w:rsidR="005B322D" w:rsidRPr="003533F0" w:rsidRDefault="005B322D" w:rsidP="005B322D">
                    <w:pPr>
                      <w:jc w:val="center"/>
                      <w:rPr>
                        <w:rFonts w:ascii="Arial" w:hAnsi="Arial" w:cs="Arial"/>
                        <w:b/>
                        <w:bCs/>
                        <w:sz w:val="15"/>
                        <w:szCs w:val="15"/>
                      </w:rPr>
                    </w:pPr>
                    <w:r w:rsidRPr="003533F0">
                      <w:rPr>
                        <w:rFonts w:ascii="Arial" w:hAnsi="Arial" w:cs="Arial"/>
                        <w:b/>
                        <w:bCs/>
                        <w:sz w:val="15"/>
                        <w:szCs w:val="15"/>
                      </w:rPr>
                      <w:t>Sede Administrativa CAD Carrera 30 No. 25-90</w:t>
                    </w:r>
                  </w:p>
                  <w:p w14:paraId="78472A72" w14:textId="77777777" w:rsidR="005B322D" w:rsidRPr="003533F0" w:rsidRDefault="005B322D" w:rsidP="005B322D">
                    <w:pPr>
                      <w:jc w:val="center"/>
                      <w:rPr>
                        <w:rFonts w:ascii="Arial" w:hAnsi="Arial" w:cs="Arial"/>
                        <w:b/>
                        <w:bCs/>
                        <w:sz w:val="15"/>
                        <w:szCs w:val="15"/>
                      </w:rPr>
                    </w:pPr>
                    <w:r w:rsidRPr="003533F0">
                      <w:rPr>
                        <w:rFonts w:ascii="Arial" w:hAnsi="Arial" w:cs="Arial"/>
                        <w:b/>
                        <w:bCs/>
                        <w:sz w:val="15"/>
                        <w:szCs w:val="15"/>
                      </w:rPr>
                      <w:t xml:space="preserve">Sede Dirección Distrital de Impuestos: Av. Calle 17 No. 65 B - 95 </w:t>
                    </w:r>
                  </w:p>
                  <w:p w14:paraId="78472A73" w14:textId="77777777" w:rsidR="005B322D" w:rsidRPr="003533F0" w:rsidRDefault="005B322D" w:rsidP="005B322D">
                    <w:pPr>
                      <w:jc w:val="center"/>
                      <w:rPr>
                        <w:rFonts w:ascii="Arial" w:hAnsi="Arial" w:cs="Arial"/>
                        <w:b/>
                        <w:bCs/>
                        <w:sz w:val="15"/>
                        <w:szCs w:val="15"/>
                      </w:rPr>
                    </w:pPr>
                    <w:r w:rsidRPr="003533F0">
                      <w:rPr>
                        <w:rFonts w:ascii="Arial" w:hAnsi="Arial" w:cs="Arial"/>
                        <w:b/>
                        <w:bCs/>
                        <w:sz w:val="15"/>
                        <w:szCs w:val="15"/>
                      </w:rPr>
                      <w:t xml:space="preserve">PBX 369 2700 - 338 5000 * </w:t>
                    </w:r>
                    <w:hyperlink r:id="rId2" w:history="1">
                      <w:r w:rsidRPr="003533F0">
                        <w:rPr>
                          <w:rStyle w:val="Hipervnculo"/>
                          <w:rFonts w:ascii="Arial" w:hAnsi="Arial" w:cs="Arial"/>
                          <w:b/>
                          <w:bCs/>
                          <w:sz w:val="15"/>
                          <w:szCs w:val="15"/>
                        </w:rPr>
                        <w:t>www.haciendabogota.gov.co</w:t>
                      </w:r>
                    </w:hyperlink>
                    <w:r w:rsidRPr="003533F0">
                      <w:rPr>
                        <w:rFonts w:ascii="Arial" w:hAnsi="Arial" w:cs="Arial"/>
                        <w:b/>
                        <w:bCs/>
                        <w:sz w:val="15"/>
                        <w:szCs w:val="15"/>
                      </w:rPr>
                      <w:t xml:space="preserve"> *  Información: Línea 195</w:t>
                    </w:r>
                  </w:p>
                  <w:p w14:paraId="78472A74" w14:textId="77777777" w:rsidR="005B322D" w:rsidRDefault="005B322D" w:rsidP="005B322D"/>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261120"/>
      <w:docPartObj>
        <w:docPartGallery w:val="Page Numbers (Bottom of Page)"/>
        <w:docPartUnique/>
      </w:docPartObj>
    </w:sdtPr>
    <w:sdtEndPr/>
    <w:sdtContent>
      <w:p w14:paraId="44A0DD13" w14:textId="1DAEBA3C" w:rsidR="00683F0F" w:rsidRDefault="00683F0F">
        <w:pPr>
          <w:pStyle w:val="Piedepgina"/>
          <w:jc w:val="right"/>
        </w:pPr>
        <w:r>
          <w:rPr>
            <w:rFonts w:ascii="Arial" w:hAnsi="Arial" w:cs="Arial"/>
            <w:b/>
            <w:bCs/>
            <w:noProof/>
          </w:rPr>
          <w:drawing>
            <wp:anchor distT="0" distB="0" distL="114300" distR="114300" simplePos="0" relativeHeight="251662336" behindDoc="0" locked="0" layoutInCell="1" allowOverlap="1" wp14:anchorId="532B5973" wp14:editId="6CB5E766">
              <wp:simplePos x="0" y="0"/>
              <wp:positionH relativeFrom="column">
                <wp:posOffset>-1219200</wp:posOffset>
              </wp:positionH>
              <wp:positionV relativeFrom="paragraph">
                <wp:posOffset>-628650</wp:posOffset>
              </wp:positionV>
              <wp:extent cx="7804785" cy="1389990"/>
              <wp:effectExtent l="0" t="0" r="0" b="0"/>
              <wp:wrapNone/>
              <wp:docPr id="3" name="Imagen 3" descr="For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Forma&#10;&#10;Descripción generada automáticamente con confianza media"/>
                      <pic:cNvPicPr/>
                    </pic:nvPicPr>
                    <pic:blipFill>
                      <a:blip r:embed="rId1">
                        <a:extLst>
                          <a:ext uri="{28A0092B-C50C-407E-A947-70E740481C1C}">
                            <a14:useLocalDpi xmlns:a14="http://schemas.microsoft.com/office/drawing/2010/main" val="0"/>
                          </a:ext>
                        </a:extLst>
                      </a:blip>
                      <a:stretch>
                        <a:fillRect/>
                      </a:stretch>
                    </pic:blipFill>
                    <pic:spPr>
                      <a:xfrm>
                        <a:off x="0" y="0"/>
                        <a:ext cx="7804785" cy="1389990"/>
                      </a:xfrm>
                      <a:prstGeom prst="rect">
                        <a:avLst/>
                      </a:prstGeom>
                    </pic:spPr>
                  </pic:pic>
                </a:graphicData>
              </a:graphic>
              <wp14:sizeRelH relativeFrom="page">
                <wp14:pctWidth>0</wp14:pctWidth>
              </wp14:sizeRelH>
              <wp14:sizeRelV relativeFrom="page">
                <wp14:pctHeight>0</wp14:pctHeight>
              </wp14:sizeRelV>
            </wp:anchor>
          </w:drawing>
        </w:r>
        <w:r>
          <w:fldChar w:fldCharType="begin"/>
        </w:r>
        <w:r>
          <w:instrText>PAGE   \* MERGEFORMAT</w:instrText>
        </w:r>
        <w:r>
          <w:fldChar w:fldCharType="separate"/>
        </w:r>
        <w:r>
          <w:rPr>
            <w:lang w:val="es-ES"/>
          </w:rPr>
          <w:t>2</w:t>
        </w:r>
        <w:r>
          <w:fldChar w:fldCharType="end"/>
        </w:r>
      </w:p>
    </w:sdtContent>
  </w:sdt>
  <w:p w14:paraId="78472A64" w14:textId="7E06E5B4" w:rsidR="00FA5EE7" w:rsidRDefault="00FA5EE7" w:rsidP="00F56EF1">
    <w:pPr>
      <w:shd w:val="solid" w:color="FFFFFF" w:fill="FFFFFF"/>
      <w:tabs>
        <w:tab w:val="left" w:pos="600"/>
        <w:tab w:val="left" w:pos="8880"/>
      </w:tabs>
      <w:rPr>
        <w:rFonts w:ascii="Arial" w:hAnsi="Arial" w:cs="Arial"/>
        <w:b/>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D807F" w14:textId="77777777" w:rsidR="00777459" w:rsidRDefault="00777459">
      <w:r>
        <w:separator/>
      </w:r>
    </w:p>
  </w:footnote>
  <w:footnote w:type="continuationSeparator" w:id="0">
    <w:p w14:paraId="7ABCD66A" w14:textId="77777777" w:rsidR="00777459" w:rsidRDefault="00777459">
      <w:r>
        <w:continuationSeparator/>
      </w:r>
    </w:p>
  </w:footnote>
  <w:footnote w:id="1">
    <w:p w14:paraId="3B59EB25" w14:textId="77777777" w:rsidR="00612389" w:rsidRDefault="00612389" w:rsidP="00612389">
      <w:pPr>
        <w:pStyle w:val="Textonotapie"/>
      </w:pPr>
      <w:r>
        <w:rPr>
          <w:rStyle w:val="Refdenotaalpie"/>
        </w:rPr>
        <w:footnoteRef/>
      </w:r>
      <w:r>
        <w:t xml:space="preserve"> Artículo 40 de la Ley 80 de 1993.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72A60" w14:textId="09FE64F0" w:rsidR="00FA5EE7" w:rsidRPr="00B50543" w:rsidRDefault="000D40E6">
    <w:pPr>
      <w:pStyle w:val="Encabezado"/>
      <w:jc w:val="center"/>
      <w:rPr>
        <w:lang w:val="es-CO"/>
      </w:rPr>
    </w:pPr>
    <w:r>
      <w:rPr>
        <w:noProof/>
        <w:lang w:val="es-CO"/>
      </w:rPr>
      <w:drawing>
        <wp:anchor distT="0" distB="0" distL="114300" distR="114300" simplePos="0" relativeHeight="251660288" behindDoc="1" locked="0" layoutInCell="1" allowOverlap="1" wp14:anchorId="7F72FBE3" wp14:editId="230E82E9">
          <wp:simplePos x="0" y="0"/>
          <wp:positionH relativeFrom="page">
            <wp:align>left</wp:align>
          </wp:positionH>
          <wp:positionV relativeFrom="paragraph">
            <wp:posOffset>-359435</wp:posOffset>
          </wp:positionV>
          <wp:extent cx="7805249" cy="1223158"/>
          <wp:effectExtent l="0" t="0" r="0" b="0"/>
          <wp:wrapNone/>
          <wp:docPr id="1" name="Imagen 1" descr="Imagen que contiene reloj&#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sa de trabajo 1@3x.png"/>
                  <pic:cNvPicPr/>
                </pic:nvPicPr>
                <pic:blipFill>
                  <a:blip r:embed="rId1">
                    <a:extLst>
                      <a:ext uri="{28A0092B-C50C-407E-A947-70E740481C1C}">
                        <a14:useLocalDpi xmlns:a14="http://schemas.microsoft.com/office/drawing/2010/main" val="0"/>
                      </a:ext>
                    </a:extLst>
                  </a:blip>
                  <a:stretch>
                    <a:fillRect/>
                  </a:stretch>
                </pic:blipFill>
                <pic:spPr>
                  <a:xfrm>
                    <a:off x="0" y="0"/>
                    <a:ext cx="7905740" cy="123890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EC7854A0"/>
    <w:lvl w:ilvl="0">
      <w:numFmt w:val="decimal"/>
      <w:lvlText w:val="*"/>
      <w:lvlJc w:val="left"/>
    </w:lvl>
  </w:abstractNum>
  <w:abstractNum w:abstractNumId="1" w15:restartNumberingAfterBreak="0">
    <w:nsid w:val="2AB475DD"/>
    <w:multiLevelType w:val="hybridMultilevel"/>
    <w:tmpl w:val="F49ED78A"/>
    <w:lvl w:ilvl="0" w:tplc="564C0DF8">
      <w:start w:val="1"/>
      <w:numFmt w:val="lowerRoman"/>
      <w:lvlText w:val="(%1)"/>
      <w:lvlJc w:val="left"/>
      <w:pPr>
        <w:ind w:left="1080" w:hanging="72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50702FED"/>
    <w:multiLevelType w:val="hybridMultilevel"/>
    <w:tmpl w:val="68BC5870"/>
    <w:lvl w:ilvl="0" w:tplc="548A831E">
      <w:start w:val="1"/>
      <w:numFmt w:val="decimal"/>
      <w:lvlText w:val="%1."/>
      <w:lvlJc w:val="left"/>
      <w:pPr>
        <w:tabs>
          <w:tab w:val="num" w:pos="227"/>
        </w:tabs>
        <w:ind w:left="227" w:hanging="22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283"/>
        <w:lvlJc w:val="left"/>
        <w:pPr>
          <w:ind w:left="283" w:hanging="283"/>
        </w:pPr>
        <w:rPr>
          <w:rFonts w:ascii="Wingdings" w:hAnsi="Wingdings" w:cs="Wingdings" w:hint="default"/>
          <w:b w:val="0"/>
          <w:bCs w:val="0"/>
          <w:i w:val="0"/>
          <w:iCs w:val="0"/>
          <w:sz w:val="24"/>
          <w:szCs w:val="24"/>
        </w:rPr>
      </w:lvl>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defaultTabStop w:val="708"/>
  <w:hyphenationZone w:val="425"/>
  <w:doNotHyphenateCaps/>
  <w:drawingGridHorizontalSpacing w:val="100"/>
  <w:displayHorizontalDrawingGridEvery w:val="0"/>
  <w:displayVerticalDrawingGridEvery w:val="0"/>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18C"/>
    <w:rsid w:val="00017F35"/>
    <w:rsid w:val="00022CB6"/>
    <w:rsid w:val="00030530"/>
    <w:rsid w:val="0004540C"/>
    <w:rsid w:val="00086716"/>
    <w:rsid w:val="000A5AE1"/>
    <w:rsid w:val="000A6096"/>
    <w:rsid w:val="000B09ED"/>
    <w:rsid w:val="000D40E6"/>
    <w:rsid w:val="00102F28"/>
    <w:rsid w:val="0012303F"/>
    <w:rsid w:val="00134C57"/>
    <w:rsid w:val="00137469"/>
    <w:rsid w:val="00142360"/>
    <w:rsid w:val="001434E6"/>
    <w:rsid w:val="00152F99"/>
    <w:rsid w:val="0017218C"/>
    <w:rsid w:val="0017691F"/>
    <w:rsid w:val="001772FC"/>
    <w:rsid w:val="001821A1"/>
    <w:rsid w:val="00185F19"/>
    <w:rsid w:val="00194F40"/>
    <w:rsid w:val="001B4DD7"/>
    <w:rsid w:val="001C1114"/>
    <w:rsid w:val="001C32DC"/>
    <w:rsid w:val="001D5AA4"/>
    <w:rsid w:val="001E6AA2"/>
    <w:rsid w:val="001F6034"/>
    <w:rsid w:val="002125D9"/>
    <w:rsid w:val="00214346"/>
    <w:rsid w:val="00214FCB"/>
    <w:rsid w:val="002411D6"/>
    <w:rsid w:val="00241D71"/>
    <w:rsid w:val="00245AE3"/>
    <w:rsid w:val="00246BA7"/>
    <w:rsid w:val="002764B7"/>
    <w:rsid w:val="00287935"/>
    <w:rsid w:val="002B1E4D"/>
    <w:rsid w:val="002B26FC"/>
    <w:rsid w:val="002C5926"/>
    <w:rsid w:val="002E0109"/>
    <w:rsid w:val="00307794"/>
    <w:rsid w:val="00307F5F"/>
    <w:rsid w:val="0035218E"/>
    <w:rsid w:val="003802C6"/>
    <w:rsid w:val="0038447A"/>
    <w:rsid w:val="00395DC6"/>
    <w:rsid w:val="003A1EE1"/>
    <w:rsid w:val="003A4B03"/>
    <w:rsid w:val="003A60C3"/>
    <w:rsid w:val="003D7D8D"/>
    <w:rsid w:val="00427DA2"/>
    <w:rsid w:val="004643B6"/>
    <w:rsid w:val="004818D8"/>
    <w:rsid w:val="00492BD6"/>
    <w:rsid w:val="004C2155"/>
    <w:rsid w:val="004F2F4A"/>
    <w:rsid w:val="004F59DD"/>
    <w:rsid w:val="00512740"/>
    <w:rsid w:val="00547B73"/>
    <w:rsid w:val="005562ED"/>
    <w:rsid w:val="00583677"/>
    <w:rsid w:val="005909CE"/>
    <w:rsid w:val="005B322D"/>
    <w:rsid w:val="005D32FA"/>
    <w:rsid w:val="005E5AAC"/>
    <w:rsid w:val="00612389"/>
    <w:rsid w:val="00616D7B"/>
    <w:rsid w:val="00634B47"/>
    <w:rsid w:val="00683F0F"/>
    <w:rsid w:val="00685455"/>
    <w:rsid w:val="006B2196"/>
    <w:rsid w:val="006C37B7"/>
    <w:rsid w:val="006C3B48"/>
    <w:rsid w:val="00703B87"/>
    <w:rsid w:val="00727C70"/>
    <w:rsid w:val="007304B1"/>
    <w:rsid w:val="0073223A"/>
    <w:rsid w:val="0074057F"/>
    <w:rsid w:val="00747413"/>
    <w:rsid w:val="007553B5"/>
    <w:rsid w:val="0076059E"/>
    <w:rsid w:val="00767E66"/>
    <w:rsid w:val="00777459"/>
    <w:rsid w:val="00777C1A"/>
    <w:rsid w:val="007F15CC"/>
    <w:rsid w:val="007F7A9B"/>
    <w:rsid w:val="00813CC7"/>
    <w:rsid w:val="00815215"/>
    <w:rsid w:val="008162D3"/>
    <w:rsid w:val="00843CC1"/>
    <w:rsid w:val="00846A28"/>
    <w:rsid w:val="008505B3"/>
    <w:rsid w:val="00877571"/>
    <w:rsid w:val="00882311"/>
    <w:rsid w:val="00895E77"/>
    <w:rsid w:val="008B4180"/>
    <w:rsid w:val="008F23AE"/>
    <w:rsid w:val="00971091"/>
    <w:rsid w:val="009E6299"/>
    <w:rsid w:val="00A33984"/>
    <w:rsid w:val="00A3443A"/>
    <w:rsid w:val="00A70208"/>
    <w:rsid w:val="00A77F96"/>
    <w:rsid w:val="00A841E4"/>
    <w:rsid w:val="00AC1B48"/>
    <w:rsid w:val="00AC2F17"/>
    <w:rsid w:val="00AD1E2B"/>
    <w:rsid w:val="00AE5020"/>
    <w:rsid w:val="00AF3057"/>
    <w:rsid w:val="00B2236C"/>
    <w:rsid w:val="00B43AB8"/>
    <w:rsid w:val="00B45243"/>
    <w:rsid w:val="00B50543"/>
    <w:rsid w:val="00B724E3"/>
    <w:rsid w:val="00B8127F"/>
    <w:rsid w:val="00BB00F4"/>
    <w:rsid w:val="00BD042F"/>
    <w:rsid w:val="00BD4DB3"/>
    <w:rsid w:val="00BF160F"/>
    <w:rsid w:val="00C21201"/>
    <w:rsid w:val="00C378F6"/>
    <w:rsid w:val="00C42B01"/>
    <w:rsid w:val="00C46950"/>
    <w:rsid w:val="00C67A92"/>
    <w:rsid w:val="00C921E7"/>
    <w:rsid w:val="00CB71E9"/>
    <w:rsid w:val="00CC2CD8"/>
    <w:rsid w:val="00CD23F4"/>
    <w:rsid w:val="00CF3669"/>
    <w:rsid w:val="00D03DA7"/>
    <w:rsid w:val="00D14803"/>
    <w:rsid w:val="00D1723D"/>
    <w:rsid w:val="00D17FB9"/>
    <w:rsid w:val="00D306AD"/>
    <w:rsid w:val="00D9071A"/>
    <w:rsid w:val="00DD07EC"/>
    <w:rsid w:val="00DD7104"/>
    <w:rsid w:val="00DE6260"/>
    <w:rsid w:val="00DE687B"/>
    <w:rsid w:val="00DF75FF"/>
    <w:rsid w:val="00E138FD"/>
    <w:rsid w:val="00E16CEE"/>
    <w:rsid w:val="00E22785"/>
    <w:rsid w:val="00E25C08"/>
    <w:rsid w:val="00E30150"/>
    <w:rsid w:val="00E321FB"/>
    <w:rsid w:val="00E361DA"/>
    <w:rsid w:val="00E54CC5"/>
    <w:rsid w:val="00E55849"/>
    <w:rsid w:val="00E638FF"/>
    <w:rsid w:val="00E66C22"/>
    <w:rsid w:val="00E7609B"/>
    <w:rsid w:val="00E823AB"/>
    <w:rsid w:val="00E8458F"/>
    <w:rsid w:val="00EC68B7"/>
    <w:rsid w:val="00EE017B"/>
    <w:rsid w:val="00EE045A"/>
    <w:rsid w:val="00F010B2"/>
    <w:rsid w:val="00F056A6"/>
    <w:rsid w:val="00F33AE4"/>
    <w:rsid w:val="00F412DB"/>
    <w:rsid w:val="00F56EF1"/>
    <w:rsid w:val="00F61430"/>
    <w:rsid w:val="00F90C28"/>
    <w:rsid w:val="00FA5EE7"/>
    <w:rsid w:val="00FA70EC"/>
    <w:rsid w:val="00FB71FB"/>
    <w:rsid w:val="00FC3235"/>
    <w:rsid w:val="00FF3AE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472A5B"/>
  <w15:docId w15:val="{2D60705A-3001-5C4D-945A-4E71BD6B4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_tradnl" w:eastAsia="es-ES"/>
    </w:rPr>
  </w:style>
  <w:style w:type="paragraph" w:styleId="Ttulo1">
    <w:name w:val="heading 1"/>
    <w:basedOn w:val="Normal"/>
    <w:next w:val="Normal"/>
    <w:link w:val="Ttulo1Car"/>
    <w:uiPriority w:val="99"/>
    <w:qFormat/>
    <w:pPr>
      <w:keepNext/>
      <w:spacing w:line="480" w:lineRule="auto"/>
      <w:jc w:val="center"/>
      <w:outlineLvl w:val="0"/>
    </w:pPr>
    <w:rPr>
      <w:rFonts w:ascii="Cambria" w:hAnsi="Cambria"/>
      <w:b/>
      <w:bCs/>
      <w:kern w:val="32"/>
      <w:sz w:val="32"/>
      <w:szCs w:val="32"/>
      <w:lang w:eastAsia="x-none"/>
    </w:rPr>
  </w:style>
  <w:style w:type="paragraph" w:styleId="Ttulo2">
    <w:name w:val="heading 2"/>
    <w:basedOn w:val="Normal"/>
    <w:next w:val="Normal"/>
    <w:link w:val="Ttulo2Car"/>
    <w:uiPriority w:val="99"/>
    <w:qFormat/>
    <w:pPr>
      <w:keepNext/>
      <w:outlineLvl w:val="1"/>
    </w:pPr>
    <w:rPr>
      <w:rFonts w:ascii="Cambria" w:hAnsi="Cambria"/>
      <w:b/>
      <w:bCs/>
      <w:i/>
      <w:iCs/>
      <w:sz w:val="28"/>
      <w:szCs w:val="28"/>
      <w:lang w:eastAsia="x-none"/>
    </w:rPr>
  </w:style>
  <w:style w:type="paragraph" w:styleId="Ttulo3">
    <w:name w:val="heading 3"/>
    <w:basedOn w:val="Normal"/>
    <w:next w:val="Normal"/>
    <w:link w:val="Ttulo3Car"/>
    <w:uiPriority w:val="99"/>
    <w:qFormat/>
    <w:pPr>
      <w:keepNext/>
      <w:jc w:val="both"/>
      <w:outlineLvl w:val="2"/>
    </w:pPr>
    <w:rPr>
      <w:rFonts w:ascii="Cambria" w:hAnsi="Cambria"/>
      <w:b/>
      <w:bCs/>
      <w:sz w:val="26"/>
      <w:szCs w:val="26"/>
      <w:lang w:eastAsia="x-none"/>
    </w:rPr>
  </w:style>
  <w:style w:type="paragraph" w:styleId="Ttulo4">
    <w:name w:val="heading 4"/>
    <w:basedOn w:val="Normal"/>
    <w:next w:val="Normal"/>
    <w:link w:val="Ttulo4Car"/>
    <w:uiPriority w:val="99"/>
    <w:qFormat/>
    <w:pPr>
      <w:keepNext/>
      <w:jc w:val="both"/>
      <w:outlineLvl w:val="3"/>
    </w:pPr>
    <w:rPr>
      <w:rFonts w:ascii="Calibri" w:hAnsi="Calibri"/>
      <w:b/>
      <w:bCs/>
      <w:sz w:val="28"/>
      <w:szCs w:val="28"/>
      <w:lang w:eastAsia="x-none"/>
    </w:rPr>
  </w:style>
  <w:style w:type="paragraph" w:styleId="Ttulo5">
    <w:name w:val="heading 5"/>
    <w:basedOn w:val="Normal"/>
    <w:next w:val="Normal"/>
    <w:link w:val="Ttulo5Car"/>
    <w:uiPriority w:val="99"/>
    <w:qFormat/>
    <w:pPr>
      <w:keepNext/>
      <w:jc w:val="both"/>
      <w:outlineLvl w:val="4"/>
    </w:pPr>
    <w:rPr>
      <w:rFonts w:ascii="Calibri" w:hAnsi="Calibri"/>
      <w:b/>
      <w:bCs/>
      <w:i/>
      <w:iCs/>
      <w:sz w:val="26"/>
      <w:szCs w:val="26"/>
      <w:lang w:eastAsia="x-none"/>
    </w:rPr>
  </w:style>
  <w:style w:type="paragraph" w:styleId="Ttulo6">
    <w:name w:val="heading 6"/>
    <w:basedOn w:val="Normal"/>
    <w:next w:val="Normal"/>
    <w:link w:val="Ttulo6Car"/>
    <w:uiPriority w:val="99"/>
    <w:qFormat/>
    <w:pPr>
      <w:keepNext/>
      <w:outlineLvl w:val="5"/>
    </w:pPr>
    <w:rPr>
      <w:rFonts w:ascii="Calibri" w:hAnsi="Calibri"/>
      <w:b/>
      <w:bCs/>
      <w:lang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Heading1Char">
    <w:name w:val="Heading 1 Char"/>
    <w:uiPriority w:val="9"/>
    <w:rPr>
      <w:rFonts w:ascii="Cambria" w:eastAsia="Times New Roman" w:hAnsi="Cambria" w:cs="Times New Roman"/>
      <w:b/>
      <w:bCs/>
      <w:kern w:val="32"/>
      <w:sz w:val="32"/>
      <w:szCs w:val="32"/>
      <w:lang w:val="es-ES_tradnl" w:eastAsia="es-ES"/>
    </w:rPr>
  </w:style>
  <w:style w:type="character" w:customStyle="1" w:styleId="Heading2Char">
    <w:name w:val="Heading 2 Char"/>
    <w:uiPriority w:val="9"/>
    <w:semiHidden/>
    <w:rPr>
      <w:rFonts w:ascii="Cambria" w:eastAsia="Times New Roman" w:hAnsi="Cambria" w:cs="Times New Roman"/>
      <w:b/>
      <w:bCs/>
      <w:i/>
      <w:iCs/>
      <w:sz w:val="28"/>
      <w:szCs w:val="28"/>
      <w:lang w:val="es-ES_tradnl" w:eastAsia="es-ES"/>
    </w:rPr>
  </w:style>
  <w:style w:type="character" w:customStyle="1" w:styleId="Heading3Char">
    <w:name w:val="Heading 3 Char"/>
    <w:uiPriority w:val="9"/>
    <w:semiHidden/>
    <w:rPr>
      <w:rFonts w:ascii="Cambria" w:eastAsia="Times New Roman" w:hAnsi="Cambria" w:cs="Times New Roman"/>
      <w:b/>
      <w:bCs/>
      <w:sz w:val="26"/>
      <w:szCs w:val="26"/>
      <w:lang w:val="es-ES_tradnl" w:eastAsia="es-ES"/>
    </w:rPr>
  </w:style>
  <w:style w:type="character" w:customStyle="1" w:styleId="Heading4Char">
    <w:name w:val="Heading 4 Char"/>
    <w:uiPriority w:val="9"/>
    <w:semiHidden/>
    <w:rPr>
      <w:rFonts w:ascii="Calibri" w:eastAsia="Times New Roman" w:hAnsi="Calibri" w:cs="Times New Roman"/>
      <w:b/>
      <w:bCs/>
      <w:sz w:val="28"/>
      <w:szCs w:val="28"/>
      <w:lang w:val="es-ES_tradnl" w:eastAsia="es-ES"/>
    </w:rPr>
  </w:style>
  <w:style w:type="character" w:customStyle="1" w:styleId="Heading5Char">
    <w:name w:val="Heading 5 Char"/>
    <w:uiPriority w:val="9"/>
    <w:semiHidden/>
    <w:rPr>
      <w:rFonts w:ascii="Calibri" w:eastAsia="Times New Roman" w:hAnsi="Calibri" w:cs="Times New Roman"/>
      <w:b/>
      <w:bCs/>
      <w:i/>
      <w:iCs/>
      <w:sz w:val="26"/>
      <w:szCs w:val="26"/>
      <w:lang w:val="es-ES_tradnl" w:eastAsia="es-ES"/>
    </w:rPr>
  </w:style>
  <w:style w:type="character" w:customStyle="1" w:styleId="Heading6Char">
    <w:name w:val="Heading 6 Char"/>
    <w:uiPriority w:val="9"/>
    <w:semiHidden/>
    <w:rPr>
      <w:rFonts w:ascii="Calibri" w:eastAsia="Times New Roman" w:hAnsi="Calibri" w:cs="Times New Roman"/>
      <w:b/>
      <w:bCs/>
      <w:lang w:val="es-ES_tradnl" w:eastAsia="es-ES"/>
    </w:rPr>
  </w:style>
  <w:style w:type="character" w:customStyle="1" w:styleId="Ttulo1Car">
    <w:name w:val="Título 1 Car"/>
    <w:link w:val="Ttulo1"/>
    <w:uiPriority w:val="99"/>
    <w:locked/>
    <w:rPr>
      <w:rFonts w:ascii="Cambria" w:eastAsia="Times New Roman" w:hAnsi="Cambria" w:cs="Cambria"/>
      <w:b/>
      <w:bCs/>
      <w:kern w:val="32"/>
      <w:sz w:val="32"/>
      <w:szCs w:val="32"/>
      <w:lang w:val="es-ES_tradnl" w:eastAsia="x-none"/>
    </w:rPr>
  </w:style>
  <w:style w:type="character" w:customStyle="1" w:styleId="Ttulo2Car">
    <w:name w:val="Título 2 Car"/>
    <w:link w:val="Ttulo2"/>
    <w:uiPriority w:val="99"/>
    <w:semiHidden/>
    <w:locked/>
    <w:rPr>
      <w:rFonts w:ascii="Cambria" w:eastAsia="Times New Roman" w:hAnsi="Cambria" w:cs="Cambria"/>
      <w:b/>
      <w:bCs/>
      <w:i/>
      <w:iCs/>
      <w:sz w:val="28"/>
      <w:szCs w:val="28"/>
      <w:lang w:val="es-ES_tradnl" w:eastAsia="x-none"/>
    </w:rPr>
  </w:style>
  <w:style w:type="character" w:customStyle="1" w:styleId="Ttulo3Car">
    <w:name w:val="Título 3 Car"/>
    <w:link w:val="Ttulo3"/>
    <w:uiPriority w:val="99"/>
    <w:semiHidden/>
    <w:locked/>
    <w:rPr>
      <w:rFonts w:ascii="Cambria" w:eastAsia="Times New Roman" w:hAnsi="Cambria" w:cs="Cambria"/>
      <w:b/>
      <w:bCs/>
      <w:sz w:val="26"/>
      <w:szCs w:val="26"/>
      <w:lang w:val="es-ES_tradnl" w:eastAsia="x-none"/>
    </w:rPr>
  </w:style>
  <w:style w:type="character" w:customStyle="1" w:styleId="Ttulo4Car">
    <w:name w:val="Título 4 Car"/>
    <w:link w:val="Ttulo4"/>
    <w:uiPriority w:val="99"/>
    <w:semiHidden/>
    <w:locked/>
    <w:rPr>
      <w:rFonts w:ascii="Calibri" w:eastAsia="Times New Roman" w:hAnsi="Calibri" w:cs="Calibri"/>
      <w:b/>
      <w:bCs/>
      <w:sz w:val="28"/>
      <w:szCs w:val="28"/>
      <w:lang w:val="es-ES_tradnl" w:eastAsia="x-none"/>
    </w:rPr>
  </w:style>
  <w:style w:type="character" w:customStyle="1" w:styleId="Ttulo5Car">
    <w:name w:val="Título 5 Car"/>
    <w:link w:val="Ttulo5"/>
    <w:uiPriority w:val="99"/>
    <w:semiHidden/>
    <w:locked/>
    <w:rPr>
      <w:rFonts w:ascii="Calibri" w:eastAsia="Times New Roman" w:hAnsi="Calibri" w:cs="Calibri"/>
      <w:b/>
      <w:bCs/>
      <w:i/>
      <w:iCs/>
      <w:sz w:val="26"/>
      <w:szCs w:val="26"/>
      <w:lang w:val="es-ES_tradnl" w:eastAsia="x-none"/>
    </w:rPr>
  </w:style>
  <w:style w:type="character" w:customStyle="1" w:styleId="Ttulo6Car">
    <w:name w:val="Título 6 Car"/>
    <w:link w:val="Ttulo6"/>
    <w:uiPriority w:val="99"/>
    <w:semiHidden/>
    <w:locked/>
    <w:rPr>
      <w:rFonts w:ascii="Calibri" w:eastAsia="Times New Roman" w:hAnsi="Calibri" w:cs="Calibri"/>
      <w:b/>
      <w:bCs/>
      <w:lang w:val="es-ES_tradnl" w:eastAsia="x-none"/>
    </w:rPr>
  </w:style>
  <w:style w:type="paragraph" w:styleId="Encabezado">
    <w:name w:val="header"/>
    <w:basedOn w:val="Normal"/>
    <w:link w:val="EncabezadoCar"/>
    <w:uiPriority w:val="99"/>
    <w:pPr>
      <w:tabs>
        <w:tab w:val="center" w:pos="4252"/>
        <w:tab w:val="right" w:pos="8504"/>
      </w:tabs>
    </w:pPr>
    <w:rPr>
      <w:lang w:eastAsia="x-none"/>
    </w:rPr>
  </w:style>
  <w:style w:type="character" w:customStyle="1" w:styleId="HeaderChar">
    <w:name w:val="Header Char"/>
    <w:uiPriority w:val="99"/>
    <w:semiHidden/>
    <w:rPr>
      <w:sz w:val="20"/>
      <w:szCs w:val="20"/>
      <w:lang w:val="es-ES_tradnl" w:eastAsia="es-ES"/>
    </w:rPr>
  </w:style>
  <w:style w:type="character" w:customStyle="1" w:styleId="EncabezadoCar">
    <w:name w:val="Encabezado Car"/>
    <w:link w:val="Encabezado"/>
    <w:uiPriority w:val="99"/>
    <w:semiHidden/>
    <w:locked/>
    <w:rPr>
      <w:sz w:val="20"/>
      <w:szCs w:val="20"/>
      <w:lang w:val="es-ES_tradnl" w:eastAsia="x-none"/>
    </w:rPr>
  </w:style>
  <w:style w:type="paragraph" w:styleId="Piedepgina">
    <w:name w:val="footer"/>
    <w:basedOn w:val="Normal"/>
    <w:link w:val="PiedepginaCar"/>
    <w:uiPriority w:val="99"/>
    <w:pPr>
      <w:tabs>
        <w:tab w:val="center" w:pos="4252"/>
        <w:tab w:val="right" w:pos="8504"/>
      </w:tabs>
    </w:pPr>
    <w:rPr>
      <w:lang w:eastAsia="x-none"/>
    </w:rPr>
  </w:style>
  <w:style w:type="character" w:customStyle="1" w:styleId="FooterChar">
    <w:name w:val="Footer Char"/>
    <w:uiPriority w:val="99"/>
    <w:semiHidden/>
    <w:rPr>
      <w:sz w:val="20"/>
      <w:szCs w:val="20"/>
      <w:lang w:val="es-ES_tradnl" w:eastAsia="es-ES"/>
    </w:rPr>
  </w:style>
  <w:style w:type="character" w:customStyle="1" w:styleId="PiedepginaCar">
    <w:name w:val="Pie de página Car"/>
    <w:link w:val="Piedepgina"/>
    <w:uiPriority w:val="99"/>
    <w:locked/>
    <w:rPr>
      <w:sz w:val="20"/>
      <w:szCs w:val="20"/>
      <w:lang w:val="es-ES_tradnl" w:eastAsia="x-none"/>
    </w:rPr>
  </w:style>
  <w:style w:type="paragraph" w:styleId="Mapadeldocumento">
    <w:name w:val="Document Map"/>
    <w:basedOn w:val="Normal"/>
    <w:link w:val="MapadeldocumentoCar"/>
    <w:uiPriority w:val="99"/>
    <w:semiHidden/>
    <w:pPr>
      <w:shd w:val="clear" w:color="auto" w:fill="000080"/>
    </w:pPr>
    <w:rPr>
      <w:rFonts w:ascii="Tahoma" w:hAnsi="Tahoma"/>
      <w:sz w:val="16"/>
      <w:szCs w:val="16"/>
      <w:lang w:eastAsia="x-none"/>
    </w:rPr>
  </w:style>
  <w:style w:type="character" w:customStyle="1" w:styleId="DocumentMapChar">
    <w:name w:val="Document Map Char"/>
    <w:uiPriority w:val="99"/>
    <w:semiHidden/>
    <w:rPr>
      <w:sz w:val="0"/>
      <w:szCs w:val="0"/>
      <w:lang w:val="es-ES_tradnl" w:eastAsia="es-ES"/>
    </w:rPr>
  </w:style>
  <w:style w:type="character" w:customStyle="1" w:styleId="MapadeldocumentoCar">
    <w:name w:val="Mapa del documento Car"/>
    <w:link w:val="Mapadeldocumento"/>
    <w:uiPriority w:val="99"/>
    <w:semiHidden/>
    <w:locked/>
    <w:rPr>
      <w:rFonts w:ascii="Tahoma" w:hAnsi="Tahoma" w:cs="Tahoma"/>
      <w:sz w:val="16"/>
      <w:szCs w:val="16"/>
      <w:lang w:val="es-ES_tradnl" w:eastAsia="x-none"/>
    </w:rPr>
  </w:style>
  <w:style w:type="paragraph" w:styleId="Textodeglobo">
    <w:name w:val="Balloon Text"/>
    <w:basedOn w:val="Normal"/>
    <w:link w:val="TextodegloboCar"/>
    <w:uiPriority w:val="99"/>
    <w:semiHidden/>
    <w:rPr>
      <w:rFonts w:ascii="Tahoma" w:hAnsi="Tahoma"/>
      <w:sz w:val="16"/>
      <w:szCs w:val="16"/>
      <w:lang w:eastAsia="x-none"/>
    </w:rPr>
  </w:style>
  <w:style w:type="character" w:customStyle="1" w:styleId="BalloonTextChar">
    <w:name w:val="Balloon Text Char"/>
    <w:uiPriority w:val="99"/>
    <w:semiHidden/>
    <w:rPr>
      <w:sz w:val="0"/>
      <w:szCs w:val="0"/>
      <w:lang w:val="es-ES_tradnl" w:eastAsia="es-ES"/>
    </w:rPr>
  </w:style>
  <w:style w:type="character" w:customStyle="1" w:styleId="TextodegloboCar">
    <w:name w:val="Texto de globo Car"/>
    <w:link w:val="Textodeglobo"/>
    <w:uiPriority w:val="99"/>
    <w:semiHidden/>
    <w:locked/>
    <w:rPr>
      <w:rFonts w:ascii="Tahoma" w:hAnsi="Tahoma" w:cs="Tahoma"/>
      <w:sz w:val="16"/>
      <w:szCs w:val="16"/>
      <w:lang w:val="es-ES_tradnl" w:eastAsia="x-none"/>
    </w:rPr>
  </w:style>
  <w:style w:type="character" w:styleId="Hipervnculo">
    <w:name w:val="Hyperlink"/>
    <w:uiPriority w:val="99"/>
    <w:rPr>
      <w:color w:val="0000FF"/>
      <w:u w:val="single"/>
    </w:rPr>
  </w:style>
  <w:style w:type="paragraph" w:customStyle="1" w:styleId="estilo4">
    <w:name w:val="estilo4"/>
    <w:basedOn w:val="Normal"/>
    <w:uiPriority w:val="99"/>
    <w:pPr>
      <w:spacing w:before="100" w:beforeAutospacing="1" w:after="100" w:afterAutospacing="1"/>
    </w:pPr>
    <w:rPr>
      <w:color w:val="000000"/>
      <w:sz w:val="24"/>
      <w:szCs w:val="24"/>
      <w:lang w:val="es-ES"/>
    </w:rPr>
  </w:style>
  <w:style w:type="paragraph" w:customStyle="1" w:styleId="estilo5">
    <w:name w:val="estilo5"/>
    <w:basedOn w:val="Normal"/>
    <w:uiPriority w:val="99"/>
    <w:pPr>
      <w:spacing w:before="100" w:beforeAutospacing="1" w:after="100" w:afterAutospacing="1"/>
    </w:pPr>
    <w:rPr>
      <w:sz w:val="24"/>
      <w:szCs w:val="24"/>
      <w:lang w:val="es-ES"/>
    </w:rPr>
  </w:style>
  <w:style w:type="character" w:customStyle="1" w:styleId="estilo61">
    <w:name w:val="estilo61"/>
    <w:uiPriority w:val="99"/>
    <w:rPr>
      <w:b/>
      <w:bCs/>
      <w:color w:val="FF0000"/>
    </w:rPr>
  </w:style>
  <w:style w:type="paragraph" w:styleId="NormalWeb">
    <w:name w:val="Normal (Web)"/>
    <w:basedOn w:val="Normal"/>
    <w:uiPriority w:val="99"/>
    <w:pPr>
      <w:spacing w:before="100" w:beforeAutospacing="1" w:after="100" w:afterAutospacing="1"/>
    </w:pPr>
    <w:rPr>
      <w:sz w:val="24"/>
      <w:szCs w:val="24"/>
      <w:lang w:val="es-ES"/>
    </w:rPr>
  </w:style>
  <w:style w:type="table" w:styleId="Tablaconcuadrcula">
    <w:name w:val="Table Grid"/>
    <w:basedOn w:val="Tablanormal"/>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semiHidden/>
    <w:unhideWhenUsed/>
    <w:rsid w:val="006C3B48"/>
    <w:rPr>
      <w:sz w:val="16"/>
      <w:szCs w:val="16"/>
    </w:rPr>
  </w:style>
  <w:style w:type="paragraph" w:styleId="Textocomentario">
    <w:name w:val="annotation text"/>
    <w:basedOn w:val="Normal"/>
    <w:link w:val="TextocomentarioCar"/>
    <w:uiPriority w:val="99"/>
    <w:semiHidden/>
    <w:unhideWhenUsed/>
    <w:rsid w:val="006C3B48"/>
  </w:style>
  <w:style w:type="character" w:customStyle="1" w:styleId="TextocomentarioCar">
    <w:name w:val="Texto comentario Car"/>
    <w:link w:val="Textocomentario"/>
    <w:uiPriority w:val="99"/>
    <w:semiHidden/>
    <w:rsid w:val="006C3B48"/>
    <w:rPr>
      <w:lang w:val="es-ES_tradnl" w:eastAsia="es-ES"/>
    </w:rPr>
  </w:style>
  <w:style w:type="paragraph" w:styleId="Asuntodelcomentario">
    <w:name w:val="annotation subject"/>
    <w:basedOn w:val="Textocomentario"/>
    <w:next w:val="Textocomentario"/>
    <w:link w:val="AsuntodelcomentarioCar"/>
    <w:uiPriority w:val="99"/>
    <w:semiHidden/>
    <w:unhideWhenUsed/>
    <w:rsid w:val="006C3B48"/>
    <w:rPr>
      <w:b/>
      <w:bCs/>
    </w:rPr>
  </w:style>
  <w:style w:type="character" w:customStyle="1" w:styleId="AsuntodelcomentarioCar">
    <w:name w:val="Asunto del comentario Car"/>
    <w:link w:val="Asuntodelcomentario"/>
    <w:uiPriority w:val="99"/>
    <w:semiHidden/>
    <w:rsid w:val="006C3B48"/>
    <w:rPr>
      <w:b/>
      <w:bCs/>
      <w:lang w:val="es-ES_tradnl" w:eastAsia="es-ES"/>
    </w:rPr>
  </w:style>
  <w:style w:type="paragraph" w:customStyle="1" w:styleId="Default">
    <w:name w:val="Default"/>
    <w:rsid w:val="00E138FD"/>
    <w:pPr>
      <w:autoSpaceDE w:val="0"/>
      <w:autoSpaceDN w:val="0"/>
      <w:adjustRightInd w:val="0"/>
    </w:pPr>
    <w:rPr>
      <w:rFonts w:ascii="Arial" w:eastAsia="Calibri" w:hAnsi="Arial" w:cs="Arial"/>
      <w:color w:val="000000"/>
      <w:sz w:val="24"/>
      <w:szCs w:val="24"/>
      <w:lang w:val="es-ES" w:eastAsia="en-US"/>
    </w:rPr>
  </w:style>
  <w:style w:type="table" w:styleId="Sombreadoclaro-nfasis1">
    <w:name w:val="Light Shading Accent 1"/>
    <w:basedOn w:val="Tablanormal"/>
    <w:uiPriority w:val="60"/>
    <w:rsid w:val="00EE017B"/>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Ttulo">
    <w:name w:val="Title"/>
    <w:basedOn w:val="Normal"/>
    <w:next w:val="Normal"/>
    <w:link w:val="TtuloCar"/>
    <w:uiPriority w:val="10"/>
    <w:qFormat/>
    <w:rsid w:val="00EE017B"/>
    <w:pPr>
      <w:spacing w:before="240" w:after="60"/>
      <w:jc w:val="center"/>
      <w:outlineLvl w:val="0"/>
    </w:pPr>
    <w:rPr>
      <w:rFonts w:ascii="Cambria" w:hAnsi="Cambria"/>
      <w:b/>
      <w:bCs/>
      <w:kern w:val="28"/>
      <w:sz w:val="32"/>
      <w:szCs w:val="32"/>
    </w:rPr>
  </w:style>
  <w:style w:type="character" w:customStyle="1" w:styleId="TtuloCar">
    <w:name w:val="Título Car"/>
    <w:link w:val="Ttulo"/>
    <w:uiPriority w:val="10"/>
    <w:rsid w:val="00EE017B"/>
    <w:rPr>
      <w:rFonts w:ascii="Cambria" w:eastAsia="Times New Roman" w:hAnsi="Cambria" w:cs="Times New Roman"/>
      <w:b/>
      <w:bCs/>
      <w:kern w:val="28"/>
      <w:sz w:val="32"/>
      <w:szCs w:val="32"/>
      <w:lang w:val="es-ES_tradnl" w:eastAsia="es-ES"/>
    </w:rPr>
  </w:style>
  <w:style w:type="paragraph" w:customStyle="1" w:styleId="piecuerpo2">
    <w:name w:val="piecuerpo2"/>
    <w:basedOn w:val="Normal"/>
    <w:rsid w:val="00214346"/>
    <w:pPr>
      <w:spacing w:after="100" w:afterAutospacing="1" w:line="225" w:lineRule="atLeast"/>
      <w:ind w:left="750"/>
      <w:textAlignment w:val="top"/>
    </w:pPr>
    <w:rPr>
      <w:rFonts w:ascii="Arial" w:hAnsi="Arial" w:cs="Arial"/>
      <w:color w:val="333333"/>
      <w:sz w:val="17"/>
      <w:szCs w:val="17"/>
      <w:lang w:val="es-CO" w:eastAsia="es-CO"/>
    </w:rPr>
  </w:style>
  <w:style w:type="character" w:styleId="Mencinsinresolver">
    <w:name w:val="Unresolved Mention"/>
    <w:basedOn w:val="Fuentedeprrafopredeter"/>
    <w:uiPriority w:val="99"/>
    <w:semiHidden/>
    <w:unhideWhenUsed/>
    <w:rsid w:val="008505B3"/>
    <w:rPr>
      <w:color w:val="605E5C"/>
      <w:shd w:val="clear" w:color="auto" w:fill="E1DFDD"/>
    </w:rPr>
  </w:style>
  <w:style w:type="paragraph" w:styleId="Textonotapie">
    <w:name w:val="footnote text"/>
    <w:aliases w:val="ft,Texto nota pie2,ft1,ft Car Car Car1,Texto nota pie Car2,ft Car Car2,ft Car,ft Car Car,ft Car Car Car,Footnote Text Char,Texto nota pie_mujer,Texto nota pie Car Car,Footnote Text Char Char Char Char Char,Footnote Text Char Char Char Cha"/>
    <w:basedOn w:val="Normal"/>
    <w:link w:val="TextonotapieCar"/>
    <w:uiPriority w:val="99"/>
    <w:rsid w:val="00612389"/>
    <w:rPr>
      <w:rFonts w:asciiTheme="minorHAnsi" w:eastAsiaTheme="minorEastAsia" w:hAnsiTheme="minorHAnsi"/>
      <w:sz w:val="24"/>
      <w:szCs w:val="24"/>
      <w:lang w:val="es-ES" w:eastAsia="en-US"/>
    </w:rPr>
  </w:style>
  <w:style w:type="character" w:customStyle="1" w:styleId="TextonotapieCar">
    <w:name w:val="Texto nota pie Car"/>
    <w:aliases w:val="ft Car1,Texto nota pie2 Car,ft1 Car,ft Car Car Car1 Car,Texto nota pie Car2 Car,ft Car Car2 Car,ft Car Car1,ft Car Car Car2,ft Car Car Car Car,Footnote Text Char Car,Texto nota pie_mujer Car,Texto nota pie Car Car Car"/>
    <w:basedOn w:val="Fuentedeprrafopredeter"/>
    <w:link w:val="Textonotapie"/>
    <w:uiPriority w:val="99"/>
    <w:rsid w:val="00612389"/>
    <w:rPr>
      <w:rFonts w:asciiTheme="minorHAnsi" w:eastAsiaTheme="minorEastAsia" w:hAnsiTheme="minorHAnsi"/>
      <w:sz w:val="24"/>
      <w:szCs w:val="24"/>
      <w:lang w:val="es-ES" w:eastAsia="en-US"/>
    </w:rPr>
  </w:style>
  <w:style w:type="character" w:styleId="Refdenotaalpie">
    <w:name w:val="footnote reference"/>
    <w:aliases w:val="Ref,de nota al pie,referencia nota al pie,FC,Ref. de nota al pie2,Nota de pie,Pie de Página,Texto nota pie Car1 Car,Texto nota pie Car2 Car Car,BVI f,Ref1,F,4,Appel note de bas de p,Texto de nota al p,Pie de Pàgina,Pie de P_gin"/>
    <w:uiPriority w:val="99"/>
    <w:rsid w:val="00612389"/>
    <w:rPr>
      <w:vertAlign w:val="superscript"/>
    </w:rPr>
  </w:style>
  <w:style w:type="paragraph" w:styleId="Prrafodelista">
    <w:name w:val="List Paragraph"/>
    <w:basedOn w:val="Normal"/>
    <w:uiPriority w:val="34"/>
    <w:qFormat/>
    <w:rsid w:val="00612389"/>
    <w:pPr>
      <w:ind w:left="720"/>
      <w:contextualSpacing/>
    </w:pPr>
    <w:rPr>
      <w:rFonts w:asciiTheme="minorHAnsi" w:eastAsiaTheme="minorEastAsia" w:hAnsiTheme="minorHAnsi"/>
      <w:sz w:val="24"/>
      <w:szCs w:val="24"/>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9079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pazos@shd.gov.co"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http://www.haciendabogota.gov.co" TargetMode="External"/><Relationship Id="rId1" Type="http://schemas.openxmlformats.org/officeDocument/2006/relationships/hyperlink" Target="http://www.haciendabogota.gov.co"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o" ma:contentTypeID="0x0101006D909A63864D5B4FB98D542D61C225EE" ma:contentTypeVersion="2" ma:contentTypeDescription="Crear nuevo documento." ma:contentTypeScope="" ma:versionID="ae99d74d77befa1ca25936b0e9fe78fb">
  <xsd:schema xmlns:xsd="http://www.w3.org/2001/XMLSchema" xmlns:xs="http://www.w3.org/2001/XMLSchema" xmlns:p="http://schemas.microsoft.com/office/2006/metadata/properties" xmlns:ns2="022c1f52-5ac6-47b7-8e77-11d54be04ede" targetNamespace="http://schemas.microsoft.com/office/2006/metadata/properties" ma:root="true" ma:fieldsID="ff25171d245a056904c363659cb0e1c5" ns2:_="">
    <xsd:import namespace="022c1f52-5ac6-47b7-8e77-11d54be04ed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2c1f52-5ac6-47b7-8e77-11d54be04e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859814-28C2-48D4-9C1B-1622B160FF8F}">
  <ds:schemaRefs>
    <ds:schemaRef ds:uri="http://schemas.microsoft.com/sharepoint/v3/contenttype/forms"/>
  </ds:schemaRefs>
</ds:datastoreItem>
</file>

<file path=customXml/itemProps2.xml><?xml version="1.0" encoding="utf-8"?>
<ds:datastoreItem xmlns:ds="http://schemas.openxmlformats.org/officeDocument/2006/customXml" ds:itemID="{43E4C9E2-ECF0-4DF2-B3D3-BAEACFADC82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8BE8B63-B631-C741-B93D-688FEB336B5F}">
  <ds:schemaRefs>
    <ds:schemaRef ds:uri="http://schemas.openxmlformats.org/officeDocument/2006/bibliography"/>
  </ds:schemaRefs>
</ds:datastoreItem>
</file>

<file path=customXml/itemProps4.xml><?xml version="1.0" encoding="utf-8"?>
<ds:datastoreItem xmlns:ds="http://schemas.openxmlformats.org/officeDocument/2006/customXml" ds:itemID="{87CDA67E-366E-4F54-989B-7361DAEEDE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2c1f52-5ac6-47b7-8e77-11d54be04e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1296</Words>
  <Characters>7132</Characters>
  <Application>Microsoft Office Word</Application>
  <DocSecurity>0</DocSecurity>
  <Lines>59</Lines>
  <Paragraphs>16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Modelo plantilla SDH - Julio 2012</vt:lpstr>
      <vt:lpstr>Modelo plantilla SDH - Julio 2012</vt:lpstr>
    </vt:vector>
  </TitlesOfParts>
  <Company>LG  Electronics Inc.</Company>
  <LinksUpToDate>false</LinksUpToDate>
  <CharactersWithSpaces>8412</CharactersWithSpaces>
  <SharedDoc>false</SharedDoc>
  <HLinks>
    <vt:vector size="6" baseType="variant">
      <vt:variant>
        <vt:i4>5242948</vt:i4>
      </vt:variant>
      <vt:variant>
        <vt:i4>0</vt:i4>
      </vt:variant>
      <vt:variant>
        <vt:i4>0</vt:i4>
      </vt:variant>
      <vt:variant>
        <vt:i4>5</vt:i4>
      </vt:variant>
      <vt:variant>
        <vt:lpwstr>http://www.haciendabogota.gov.co/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plantilla SDH - Julio 2012</dc:title>
  <dc:subject>Plantillas manual de estilo 2012 Bogotá Humana</dc:subject>
  <dc:creator>Microsoft Office User</dc:creator>
  <cp:keywords>Plantillas</cp:keywords>
  <cp:lastModifiedBy>Liliana del Socorro Pérez Alarcon</cp:lastModifiedBy>
  <cp:revision>2</cp:revision>
  <cp:lastPrinted>2020-02-07T14:13:00Z</cp:lastPrinted>
  <dcterms:created xsi:type="dcterms:W3CDTF">2022-01-11T18:30:00Z</dcterms:created>
  <dcterms:modified xsi:type="dcterms:W3CDTF">2022-01-11T18:30:00Z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0x0101006D909A63864D5B4FB98D542D61C225EE</vt:lpwstr>
  </property>
</Properties>
</file>